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14D77" w14:textId="77777777" w:rsidR="002469C4" w:rsidRDefault="002469C4">
      <w:pPr>
        <w:widowControl w:val="0"/>
        <w:spacing w:after="0" w:line="276" w:lineRule="auto"/>
        <w:rPr>
          <w:rFonts w:ascii="Arial" w:eastAsia="Arial" w:hAnsi="Arial" w:cs="Arial"/>
        </w:rPr>
      </w:pPr>
    </w:p>
    <w:tbl>
      <w:tblPr>
        <w:tblStyle w:val="a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2469C4" w14:paraId="44A14D7A" w14:textId="77777777">
        <w:trPr>
          <w:trHeight w:val="528"/>
        </w:trPr>
        <w:tc>
          <w:tcPr>
            <w:tcW w:w="3539" w:type="dxa"/>
            <w:vAlign w:val="center"/>
          </w:tcPr>
          <w:p w14:paraId="44A14D78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44A14D79" w14:textId="5EF50FD2" w:rsidR="002469C4" w:rsidRPr="006F6E2C" w:rsidRDefault="006F6E2C">
            <w:pPr>
              <w:spacing w:after="0" w:line="240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6F6E2C">
              <w:rPr>
                <w:rFonts w:ascii="Arial" w:eastAsia="Arial" w:hAnsi="Arial" w:cs="Arial"/>
                <w:bCs/>
                <w:sz w:val="24"/>
                <w:szCs w:val="24"/>
              </w:rPr>
              <w:t>TECHNICKÁ GRAFIKA</w:t>
            </w:r>
          </w:p>
        </w:tc>
      </w:tr>
      <w:tr w:rsidR="002469C4" w14:paraId="44A14D7D" w14:textId="77777777">
        <w:trPr>
          <w:trHeight w:val="290"/>
        </w:trPr>
        <w:tc>
          <w:tcPr>
            <w:tcW w:w="3539" w:type="dxa"/>
            <w:vAlign w:val="center"/>
          </w:tcPr>
          <w:p w14:paraId="44A14D7B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44A14D7C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99 + 0 + 0 + 0 = 99 hodín  </w:t>
            </w:r>
          </w:p>
        </w:tc>
      </w:tr>
      <w:tr w:rsidR="002469C4" w14:paraId="44A14D80" w14:textId="77777777">
        <w:trPr>
          <w:trHeight w:val="290"/>
        </w:trPr>
        <w:tc>
          <w:tcPr>
            <w:tcW w:w="3539" w:type="dxa"/>
            <w:vAlign w:val="center"/>
          </w:tcPr>
          <w:p w14:paraId="44A14D7E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44A14D7F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priemyselná škola strojnícka, Duklianska 1, Prešov</w:t>
            </w:r>
          </w:p>
        </w:tc>
      </w:tr>
      <w:tr w:rsidR="002469C4" w14:paraId="44A14D83" w14:textId="77777777">
        <w:trPr>
          <w:trHeight w:val="290"/>
        </w:trPr>
        <w:tc>
          <w:tcPr>
            <w:tcW w:w="3539" w:type="dxa"/>
            <w:vAlign w:val="center"/>
          </w:tcPr>
          <w:p w14:paraId="44A14D81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ŠVP  </w:t>
            </w:r>
          </w:p>
        </w:tc>
        <w:tc>
          <w:tcPr>
            <w:tcW w:w="5528" w:type="dxa"/>
            <w:vAlign w:val="center"/>
          </w:tcPr>
          <w:p w14:paraId="44A14D82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 Špeciálne technické odbory</w:t>
            </w:r>
          </w:p>
        </w:tc>
      </w:tr>
      <w:tr w:rsidR="002469C4" w14:paraId="44A14D86" w14:textId="77777777">
        <w:trPr>
          <w:trHeight w:val="290"/>
        </w:trPr>
        <w:tc>
          <w:tcPr>
            <w:tcW w:w="3539" w:type="dxa"/>
            <w:vAlign w:val="center"/>
          </w:tcPr>
          <w:p w14:paraId="44A14D84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44A14D85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Logistika</w:t>
            </w:r>
          </w:p>
        </w:tc>
      </w:tr>
      <w:tr w:rsidR="002469C4" w14:paraId="44A14D89" w14:textId="77777777">
        <w:trPr>
          <w:trHeight w:val="290"/>
        </w:trPr>
        <w:tc>
          <w:tcPr>
            <w:tcW w:w="3539" w:type="dxa"/>
            <w:vAlign w:val="center"/>
          </w:tcPr>
          <w:p w14:paraId="44A14D87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44A14D88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3968 M logistika</w:t>
            </w:r>
          </w:p>
        </w:tc>
      </w:tr>
      <w:tr w:rsidR="002469C4" w14:paraId="44A14D8C" w14:textId="77777777">
        <w:trPr>
          <w:trHeight w:val="290"/>
        </w:trPr>
        <w:tc>
          <w:tcPr>
            <w:tcW w:w="3539" w:type="dxa"/>
            <w:vAlign w:val="center"/>
          </w:tcPr>
          <w:p w14:paraId="44A14D8A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44A14D8B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úplne stredné odborné vzdelanie </w:t>
            </w:r>
          </w:p>
        </w:tc>
      </w:tr>
      <w:tr w:rsidR="002469C4" w14:paraId="44A14D8F" w14:textId="77777777">
        <w:trPr>
          <w:trHeight w:val="290"/>
        </w:trPr>
        <w:tc>
          <w:tcPr>
            <w:tcW w:w="3539" w:type="dxa"/>
            <w:vAlign w:val="center"/>
          </w:tcPr>
          <w:p w14:paraId="44A14D8D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44A14D8E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002469C4" w14:paraId="44A14D92" w14:textId="77777777">
        <w:trPr>
          <w:trHeight w:val="290"/>
        </w:trPr>
        <w:tc>
          <w:tcPr>
            <w:tcW w:w="3539" w:type="dxa"/>
            <w:vAlign w:val="center"/>
          </w:tcPr>
          <w:p w14:paraId="44A14D90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44A14D91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 roky</w:t>
            </w:r>
          </w:p>
        </w:tc>
      </w:tr>
      <w:tr w:rsidR="002469C4" w14:paraId="44A14D95" w14:textId="77777777">
        <w:trPr>
          <w:trHeight w:val="290"/>
        </w:trPr>
        <w:tc>
          <w:tcPr>
            <w:tcW w:w="3539" w:type="dxa"/>
            <w:vAlign w:val="center"/>
          </w:tcPr>
          <w:p w14:paraId="44A14D93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44A14D94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denná</w:t>
            </w:r>
          </w:p>
        </w:tc>
      </w:tr>
      <w:tr w:rsidR="002469C4" w14:paraId="44A14D98" w14:textId="77777777">
        <w:trPr>
          <w:trHeight w:val="290"/>
        </w:trPr>
        <w:tc>
          <w:tcPr>
            <w:tcW w:w="3539" w:type="dxa"/>
            <w:vAlign w:val="center"/>
          </w:tcPr>
          <w:p w14:paraId="44A14D96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44A14D97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slovenský</w:t>
            </w:r>
          </w:p>
        </w:tc>
      </w:tr>
      <w:tr w:rsidR="002469C4" w14:paraId="44A14D9B" w14:textId="77777777">
        <w:trPr>
          <w:trHeight w:val="290"/>
        </w:trPr>
        <w:tc>
          <w:tcPr>
            <w:tcW w:w="3539" w:type="dxa"/>
            <w:vAlign w:val="center"/>
          </w:tcPr>
          <w:p w14:paraId="44A14D99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44A14D9A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 01.09.2025 počnúc 1. ročníkom</w:t>
            </w:r>
          </w:p>
        </w:tc>
      </w:tr>
    </w:tbl>
    <w:p w14:paraId="44A14D9C" w14:textId="77777777" w:rsidR="002469C4" w:rsidRDefault="002469C4">
      <w:pPr>
        <w:rPr>
          <w:rFonts w:ascii="Arial" w:eastAsia="Arial" w:hAnsi="Arial" w:cs="Arial"/>
          <w:sz w:val="20"/>
          <w:szCs w:val="20"/>
        </w:rPr>
      </w:pPr>
    </w:p>
    <w:p w14:paraId="44A14D9D" w14:textId="77777777" w:rsidR="002469C4" w:rsidRDefault="006F6E2C" w:rsidP="006F6E2C">
      <w:pPr>
        <w:shd w:val="clear" w:color="auto" w:fill="BFBFBF" w:themeFill="background1" w:themeFillShade="BF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Charakteristika vyučovacieho predmetu</w:t>
      </w:r>
    </w:p>
    <w:p w14:paraId="44A14D9E" w14:textId="77777777" w:rsidR="002469C4" w:rsidRDefault="002469C4">
      <w:pPr>
        <w:rPr>
          <w:rFonts w:ascii="Arial" w:eastAsia="Arial" w:hAnsi="Arial" w:cs="Arial"/>
          <w:sz w:val="20"/>
          <w:szCs w:val="20"/>
        </w:rPr>
      </w:pPr>
    </w:p>
    <w:p w14:paraId="44A14DA4" w14:textId="14CDC7C3" w:rsidR="002469C4" w:rsidRPr="006F6E2C" w:rsidRDefault="006F6E2C" w:rsidP="006F6E2C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Žiaci sú na predmete technická grafika oboznámení s významom a úlohou technického kreslenia, s normalizáciou v technickom kreslení. Učivo tohto vyučovacieho predmetu poskytuje žiakom vedomosti potrebné pre zobrazovanie dielov logistickej techniky, nákladových jednotiek na výkresoch s využitím rezov i prierezov a kótovanie základných geometrických tvarov, dĺžkových rozmerov, dier, konštrukčných a technologických prvkov. Žiaci sa naučia správne predpísať tolerancie rozmerov, geometrické tolerancie a tiež char</w:t>
      </w:r>
      <w:r>
        <w:rPr>
          <w:rFonts w:ascii="Arial" w:eastAsia="Arial" w:hAnsi="Arial" w:cs="Arial"/>
          <w:sz w:val="20"/>
          <w:szCs w:val="20"/>
        </w:rPr>
        <w:t>akteru povrchu. Po absolvovaní predmetu budú žiaci schopní čítať a vyhotovovať technické výkresy. Predmet technická grafika je úzko previazaný s predmetmi logistika, základy výroby a odborná prax. V rámci vyučovacieho predmetu sa používajú rôzne vyučovacie stratégie, výkladové, demonštračné metódy, problémové vyučovanie a metódy na rozvoj tvorivých schopností. Na dosiahnutie výchovno-vzdelávacích cieľov sa používajú frontálne a individuálne formy vyučovania, projektové úlohy sa riešia individuálnou alebo sk</w:t>
      </w:r>
      <w:r>
        <w:rPr>
          <w:rFonts w:ascii="Arial" w:eastAsia="Arial" w:hAnsi="Arial" w:cs="Arial"/>
          <w:sz w:val="20"/>
          <w:szCs w:val="20"/>
        </w:rPr>
        <w:t xml:space="preserve">upinovou formou vyučovania. Pre názornosť sa využíva didaktická technika, grafický program, učebné pomôcky, modely pre posilnenie predstavivosti a pochopenia vzájomnej interakcie. Pri diagnostikovaní a klasifikácii využívame formatívne slovné a sumatívne písomné a praktické hodnotenie. Učivo sa prednáša a vysvetľuje v odborných učebniach. </w:t>
      </w:r>
    </w:p>
    <w:p w14:paraId="44A14DA5" w14:textId="77777777" w:rsidR="002469C4" w:rsidRDefault="002469C4">
      <w:pPr>
        <w:spacing w:after="0" w:line="276" w:lineRule="auto"/>
        <w:jc w:val="both"/>
      </w:pPr>
    </w:p>
    <w:tbl>
      <w:tblPr>
        <w:tblStyle w:val="a0"/>
        <w:tblW w:w="906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2469C4" w14:paraId="44A14DA7" w14:textId="77777777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44A14DA6" w14:textId="77777777" w:rsidR="002469C4" w:rsidRDefault="006F6E2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Rámcový rozpis učiva</w:t>
            </w:r>
          </w:p>
        </w:tc>
      </w:tr>
      <w:tr w:rsidR="002469C4" w14:paraId="44A14DAA" w14:textId="77777777">
        <w:trPr>
          <w:trHeight w:val="340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44A14DA8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44A14DA9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99 hodín spolu</w:t>
            </w:r>
          </w:p>
        </w:tc>
      </w:tr>
      <w:tr w:rsidR="002469C4" w14:paraId="44A14DA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AB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Normalizácia v technickom kreslení</w:t>
            </w:r>
          </w:p>
        </w:tc>
        <w:tc>
          <w:tcPr>
            <w:tcW w:w="1842" w:type="dxa"/>
            <w:vAlign w:val="bottom"/>
          </w:tcPr>
          <w:p w14:paraId="44A14DAC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 hodín</w:t>
            </w:r>
          </w:p>
        </w:tc>
      </w:tr>
      <w:tr w:rsidR="002469C4" w14:paraId="44A14DB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AE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Základné geometrické konštrukcie</w:t>
            </w:r>
          </w:p>
        </w:tc>
        <w:tc>
          <w:tcPr>
            <w:tcW w:w="1842" w:type="dxa"/>
            <w:vAlign w:val="bottom"/>
          </w:tcPr>
          <w:p w14:paraId="44A14DAF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69C4" w14:paraId="44A14DB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B1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Normalizácia, technické výkresy</w:t>
            </w:r>
          </w:p>
        </w:tc>
        <w:tc>
          <w:tcPr>
            <w:tcW w:w="1842" w:type="dxa"/>
            <w:vAlign w:val="bottom"/>
          </w:tcPr>
          <w:p w14:paraId="44A14DB2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469C4" w14:paraId="44A14DB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B4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Druhy čiar</w:t>
            </w:r>
          </w:p>
        </w:tc>
        <w:tc>
          <w:tcPr>
            <w:tcW w:w="1842" w:type="dxa"/>
            <w:vAlign w:val="center"/>
          </w:tcPr>
          <w:p w14:paraId="44A14DB5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69C4" w14:paraId="44A14DB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B7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Mierky pre technické výkresy</w:t>
            </w:r>
          </w:p>
        </w:tc>
        <w:tc>
          <w:tcPr>
            <w:tcW w:w="1842" w:type="dxa"/>
            <w:vAlign w:val="center"/>
          </w:tcPr>
          <w:p w14:paraId="44A14DB8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69C4" w14:paraId="44A14DB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BA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Popisovanie výkresov - technické písmo</w:t>
            </w:r>
          </w:p>
        </w:tc>
        <w:tc>
          <w:tcPr>
            <w:tcW w:w="1842" w:type="dxa"/>
            <w:vAlign w:val="center"/>
          </w:tcPr>
          <w:p w14:paraId="44A14DBB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69C4" w14:paraId="44A14DB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BD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Technické zobrazovanie</w:t>
            </w:r>
          </w:p>
        </w:tc>
        <w:tc>
          <w:tcPr>
            <w:tcW w:w="1842" w:type="dxa"/>
            <w:vAlign w:val="bottom"/>
          </w:tcPr>
          <w:p w14:paraId="44A14DBE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16 hodín</w:t>
            </w:r>
          </w:p>
        </w:tc>
      </w:tr>
      <w:tr w:rsidR="002469C4" w14:paraId="44A14DC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C0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Základné pojmy z premietania</w:t>
            </w:r>
          </w:p>
        </w:tc>
        <w:tc>
          <w:tcPr>
            <w:tcW w:w="1842" w:type="dxa"/>
            <w:vAlign w:val="bottom"/>
          </w:tcPr>
          <w:p w14:paraId="44A14DC1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469C4" w14:paraId="44A14DC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C3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Pravouhlé premietanie</w:t>
            </w:r>
          </w:p>
        </w:tc>
        <w:tc>
          <w:tcPr>
            <w:tcW w:w="1842" w:type="dxa"/>
            <w:vAlign w:val="bottom"/>
          </w:tcPr>
          <w:p w14:paraId="44A14DC4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69C4" w14:paraId="44A14DC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C6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Zobrazovanie bodu, priamky, rovinného útvaru</w:t>
            </w:r>
          </w:p>
        </w:tc>
        <w:tc>
          <w:tcPr>
            <w:tcW w:w="1842" w:type="dxa"/>
            <w:vAlign w:val="bottom"/>
          </w:tcPr>
          <w:p w14:paraId="44A14DC7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69C4" w14:paraId="44A14DC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C9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Zobrazovanie jednoduchých hranatých a oblých telies</w:t>
            </w:r>
          </w:p>
        </w:tc>
        <w:tc>
          <w:tcPr>
            <w:tcW w:w="1842" w:type="dxa"/>
            <w:vAlign w:val="bottom"/>
          </w:tcPr>
          <w:p w14:paraId="44A14DCA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69C4" w14:paraId="44A14DC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CC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Zobrazenie zložených telies</w:t>
            </w:r>
          </w:p>
        </w:tc>
        <w:tc>
          <w:tcPr>
            <w:tcW w:w="1842" w:type="dxa"/>
            <w:vAlign w:val="bottom"/>
          </w:tcPr>
          <w:p w14:paraId="44A14DCD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69C4" w14:paraId="44A14DD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CF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Druhy pohľadov a voľba počtu pohľadov</w:t>
            </w:r>
          </w:p>
        </w:tc>
        <w:tc>
          <w:tcPr>
            <w:tcW w:w="1842" w:type="dxa"/>
            <w:vAlign w:val="bottom"/>
          </w:tcPr>
          <w:p w14:paraId="44A14DD0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469C4" w14:paraId="44A14DD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D2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Zobrazovanie v rezoch a prierezoch</w:t>
            </w:r>
          </w:p>
        </w:tc>
        <w:tc>
          <w:tcPr>
            <w:tcW w:w="1842" w:type="dxa"/>
            <w:vAlign w:val="bottom"/>
          </w:tcPr>
          <w:p w14:paraId="44A14DD3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13 hodín</w:t>
            </w:r>
          </w:p>
        </w:tc>
      </w:tr>
      <w:tr w:rsidR="002469C4" w14:paraId="44A14DD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D5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Druhy rezov</w:t>
            </w:r>
          </w:p>
        </w:tc>
        <w:tc>
          <w:tcPr>
            <w:tcW w:w="1842" w:type="dxa"/>
            <w:vAlign w:val="bottom"/>
          </w:tcPr>
          <w:p w14:paraId="44A14DD6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469C4" w14:paraId="44A14DD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D8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Zobrazovanie telies v rezoch a prierezoch</w:t>
            </w:r>
          </w:p>
        </w:tc>
        <w:tc>
          <w:tcPr>
            <w:tcW w:w="1842" w:type="dxa"/>
            <w:vAlign w:val="bottom"/>
          </w:tcPr>
          <w:p w14:paraId="44A14DD9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469C4" w14:paraId="44A14DD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DB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Zobrazovanie prienikov </w:t>
            </w:r>
          </w:p>
        </w:tc>
        <w:tc>
          <w:tcPr>
            <w:tcW w:w="1842" w:type="dxa"/>
            <w:vAlign w:val="bottom"/>
          </w:tcPr>
          <w:p w14:paraId="44A14DDC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469C4" w14:paraId="44A14DE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DE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Prerušovanie a zjednodušovanie obrazov  </w:t>
            </w:r>
          </w:p>
        </w:tc>
        <w:tc>
          <w:tcPr>
            <w:tcW w:w="1842" w:type="dxa"/>
            <w:vAlign w:val="bottom"/>
          </w:tcPr>
          <w:p w14:paraId="44A14DDF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469C4" w14:paraId="44A14DE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E1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Vynesenie podrobností na výkrese</w:t>
            </w:r>
          </w:p>
        </w:tc>
        <w:tc>
          <w:tcPr>
            <w:tcW w:w="1842" w:type="dxa"/>
            <w:vAlign w:val="bottom"/>
          </w:tcPr>
          <w:p w14:paraId="44A14DE2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469C4" w14:paraId="44A14DE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E4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Pravidlá zobrazovania súčiastok</w:t>
            </w:r>
          </w:p>
        </w:tc>
        <w:tc>
          <w:tcPr>
            <w:tcW w:w="1842" w:type="dxa"/>
            <w:vAlign w:val="bottom"/>
          </w:tcPr>
          <w:p w14:paraId="44A14DE5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69C4" w14:paraId="44A14DE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E7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Kótovanie na strojníckych výkresoch</w:t>
            </w:r>
          </w:p>
        </w:tc>
        <w:tc>
          <w:tcPr>
            <w:tcW w:w="1842" w:type="dxa"/>
            <w:vAlign w:val="bottom"/>
          </w:tcPr>
          <w:p w14:paraId="44A14DE8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22 hodín</w:t>
            </w:r>
          </w:p>
        </w:tc>
      </w:tr>
      <w:tr w:rsidR="002469C4" w14:paraId="44A14DE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EA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Základné pojmy kótovania</w:t>
            </w:r>
          </w:p>
        </w:tc>
        <w:tc>
          <w:tcPr>
            <w:tcW w:w="1842" w:type="dxa"/>
            <w:vAlign w:val="bottom"/>
          </w:tcPr>
          <w:p w14:paraId="44A14DEB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69C4" w14:paraId="44A14DE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ED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Sústavy kótovania</w:t>
            </w:r>
          </w:p>
        </w:tc>
        <w:tc>
          <w:tcPr>
            <w:tcW w:w="1842" w:type="dxa"/>
            <w:vAlign w:val="bottom"/>
          </w:tcPr>
          <w:p w14:paraId="44A14DEE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69C4" w14:paraId="44A14DF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F0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Kótovanie geometrických tvarov</w:t>
            </w:r>
          </w:p>
        </w:tc>
        <w:tc>
          <w:tcPr>
            <w:tcW w:w="1842" w:type="dxa"/>
            <w:vAlign w:val="bottom"/>
          </w:tcPr>
          <w:p w14:paraId="44A14DF1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69C4" w14:paraId="44A14DF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F3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Kótovanie dier a rozstupov dier</w:t>
            </w:r>
          </w:p>
        </w:tc>
        <w:tc>
          <w:tcPr>
            <w:tcW w:w="1842" w:type="dxa"/>
            <w:vAlign w:val="bottom"/>
          </w:tcPr>
          <w:p w14:paraId="44A14DF4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69C4" w14:paraId="44A14DF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F6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Kótovanie konštrukčných a technologických prvkov</w:t>
            </w:r>
          </w:p>
        </w:tc>
        <w:tc>
          <w:tcPr>
            <w:tcW w:w="1842" w:type="dxa"/>
            <w:vAlign w:val="bottom"/>
          </w:tcPr>
          <w:p w14:paraId="44A14DF7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69C4" w14:paraId="44A14DF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F9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Zobrazovanie a kótovanie závitov</w:t>
            </w:r>
          </w:p>
        </w:tc>
        <w:tc>
          <w:tcPr>
            <w:tcW w:w="1842" w:type="dxa"/>
            <w:vAlign w:val="bottom"/>
          </w:tcPr>
          <w:p w14:paraId="44A14DFA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69C4" w14:paraId="44A14DF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FC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Kreslenie a kótovanie podľa modelov</w:t>
            </w:r>
          </w:p>
        </w:tc>
        <w:tc>
          <w:tcPr>
            <w:tcW w:w="1842" w:type="dxa"/>
            <w:vAlign w:val="bottom"/>
          </w:tcPr>
          <w:p w14:paraId="44A14DFD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69C4" w14:paraId="44A14E0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DFF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Výkres</w:t>
            </w:r>
          </w:p>
        </w:tc>
        <w:tc>
          <w:tcPr>
            <w:tcW w:w="1842" w:type="dxa"/>
            <w:vAlign w:val="bottom"/>
          </w:tcPr>
          <w:p w14:paraId="44A14E00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69C4" w14:paraId="44A14E0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E02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Predpisovanie tolerancií</w:t>
            </w:r>
          </w:p>
        </w:tc>
        <w:tc>
          <w:tcPr>
            <w:tcW w:w="1842" w:type="dxa"/>
            <w:vAlign w:val="bottom"/>
          </w:tcPr>
          <w:p w14:paraId="44A14E03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12 hodín</w:t>
            </w:r>
          </w:p>
        </w:tc>
      </w:tr>
      <w:tr w:rsidR="002469C4" w14:paraId="44A14E0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E05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Základné pojmy tolerovania</w:t>
            </w:r>
          </w:p>
        </w:tc>
        <w:tc>
          <w:tcPr>
            <w:tcW w:w="1842" w:type="dxa"/>
            <w:vAlign w:val="bottom"/>
          </w:tcPr>
          <w:p w14:paraId="44A14E06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469C4" w14:paraId="44A14E0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E08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Nepredpísané, všeobecné tolerancie</w:t>
            </w:r>
          </w:p>
        </w:tc>
        <w:tc>
          <w:tcPr>
            <w:tcW w:w="1842" w:type="dxa"/>
            <w:vAlign w:val="bottom"/>
          </w:tcPr>
          <w:p w14:paraId="44A14E09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469C4" w14:paraId="44A14E0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E0B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Predpisovanie tolerancií funkčných rozmerov</w:t>
            </w:r>
          </w:p>
        </w:tc>
        <w:tc>
          <w:tcPr>
            <w:tcW w:w="1842" w:type="dxa"/>
            <w:vAlign w:val="bottom"/>
          </w:tcPr>
          <w:p w14:paraId="44A14E0C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469C4" w14:paraId="44A14E1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E0E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Výpočet  tolerancie, medzných odchýlok a medzných rozmerov</w:t>
            </w:r>
          </w:p>
        </w:tc>
        <w:tc>
          <w:tcPr>
            <w:tcW w:w="1842" w:type="dxa"/>
            <w:vAlign w:val="bottom"/>
          </w:tcPr>
          <w:p w14:paraId="44A14E0F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469C4" w14:paraId="44A14E1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E11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Druhy a sústavy uložení</w:t>
            </w:r>
          </w:p>
        </w:tc>
        <w:tc>
          <w:tcPr>
            <w:tcW w:w="1842" w:type="dxa"/>
            <w:vAlign w:val="bottom"/>
          </w:tcPr>
          <w:p w14:paraId="44A14E12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469C4" w14:paraId="44A14E1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E14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Predpisovanie tolerancií tvaru a polohy</w:t>
            </w:r>
          </w:p>
        </w:tc>
        <w:tc>
          <w:tcPr>
            <w:tcW w:w="1842" w:type="dxa"/>
            <w:vAlign w:val="bottom"/>
          </w:tcPr>
          <w:p w14:paraId="44A14E15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469C4" w14:paraId="44A14E1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E17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Predpisovanie tolerancií rozmerov, tvaru a polohy </w:t>
            </w:r>
          </w:p>
        </w:tc>
        <w:tc>
          <w:tcPr>
            <w:tcW w:w="1842" w:type="dxa"/>
            <w:vAlign w:val="bottom"/>
          </w:tcPr>
          <w:p w14:paraId="44A14E18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469C4" w14:paraId="44A14E1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E1A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Predpisovanie charakteru povrchu</w:t>
            </w:r>
          </w:p>
        </w:tc>
        <w:tc>
          <w:tcPr>
            <w:tcW w:w="1842" w:type="dxa"/>
            <w:vAlign w:val="bottom"/>
          </w:tcPr>
          <w:p w14:paraId="44A14E1B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 hodín</w:t>
            </w:r>
          </w:p>
        </w:tc>
      </w:tr>
      <w:tr w:rsidR="002469C4" w14:paraId="44A14E1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E1D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Základné pojmy pri predpisovaní povrchu</w:t>
            </w:r>
          </w:p>
        </w:tc>
        <w:tc>
          <w:tcPr>
            <w:tcW w:w="1842" w:type="dxa"/>
            <w:vAlign w:val="bottom"/>
          </w:tcPr>
          <w:p w14:paraId="44A14E1E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469C4" w14:paraId="44A14E2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E20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Predpisovanie drsnosti povrchu </w:t>
            </w:r>
          </w:p>
        </w:tc>
        <w:tc>
          <w:tcPr>
            <w:tcW w:w="1842" w:type="dxa"/>
            <w:vAlign w:val="bottom"/>
          </w:tcPr>
          <w:p w14:paraId="44A14E21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69C4" w14:paraId="44A14E2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E23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Predpisovanie povrchovej úpravy a tepelného spracovania</w:t>
            </w:r>
          </w:p>
        </w:tc>
        <w:tc>
          <w:tcPr>
            <w:tcW w:w="1842" w:type="dxa"/>
            <w:vAlign w:val="bottom"/>
          </w:tcPr>
          <w:p w14:paraId="44A14E24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69C4" w14:paraId="44A14E2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E26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Pravidlá predpisovania povrchovej úpravy </w:t>
            </w:r>
          </w:p>
        </w:tc>
        <w:tc>
          <w:tcPr>
            <w:tcW w:w="1842" w:type="dxa"/>
            <w:vAlign w:val="bottom"/>
          </w:tcPr>
          <w:p w14:paraId="44A14E27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69C4" w14:paraId="44A14E2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E29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Technická dokumentácia</w:t>
            </w:r>
          </w:p>
        </w:tc>
        <w:tc>
          <w:tcPr>
            <w:tcW w:w="1842" w:type="dxa"/>
            <w:vAlign w:val="bottom"/>
          </w:tcPr>
          <w:p w14:paraId="44A14E2A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22 hodín</w:t>
            </w:r>
          </w:p>
        </w:tc>
      </w:tr>
      <w:tr w:rsidR="002469C4" w14:paraId="44A14E2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E2C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Typy dokumentácie</w:t>
            </w:r>
          </w:p>
        </w:tc>
        <w:tc>
          <w:tcPr>
            <w:tcW w:w="1842" w:type="dxa"/>
            <w:vAlign w:val="bottom"/>
          </w:tcPr>
          <w:p w14:paraId="44A14E2D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469C4" w14:paraId="44A14E3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E2F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Normalizácia a používanie technických značiek a noriem</w:t>
            </w:r>
          </w:p>
        </w:tc>
        <w:tc>
          <w:tcPr>
            <w:tcW w:w="1842" w:type="dxa"/>
            <w:vAlign w:val="bottom"/>
          </w:tcPr>
          <w:p w14:paraId="44A14E30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469C4" w14:paraId="44A14E3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E32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Paletové systémy</w:t>
            </w:r>
          </w:p>
        </w:tc>
        <w:tc>
          <w:tcPr>
            <w:tcW w:w="1842" w:type="dxa"/>
            <w:vAlign w:val="bottom"/>
          </w:tcPr>
          <w:p w14:paraId="44A14E33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469C4" w14:paraId="44A14E3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E35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Regálové systémy</w:t>
            </w:r>
          </w:p>
        </w:tc>
        <w:tc>
          <w:tcPr>
            <w:tcW w:w="1842" w:type="dxa"/>
            <w:vAlign w:val="bottom"/>
          </w:tcPr>
          <w:p w14:paraId="44A14E36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469C4" w14:paraId="44A14E3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E38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Vozíky</w:t>
            </w:r>
          </w:p>
        </w:tc>
        <w:tc>
          <w:tcPr>
            <w:tcW w:w="1842" w:type="dxa"/>
            <w:vAlign w:val="bottom"/>
          </w:tcPr>
          <w:p w14:paraId="44A14E39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469C4" w14:paraId="44A14E3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44A14E3B" w14:textId="77777777" w:rsidR="002469C4" w:rsidRDefault="006F6E2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Dopravníky</w:t>
            </w:r>
          </w:p>
        </w:tc>
        <w:tc>
          <w:tcPr>
            <w:tcW w:w="1842" w:type="dxa"/>
            <w:vAlign w:val="bottom"/>
          </w:tcPr>
          <w:p w14:paraId="44A14E3C" w14:textId="77777777" w:rsidR="002469C4" w:rsidRDefault="002469C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44A14E3E" w14:textId="77777777" w:rsidR="002469C4" w:rsidRDefault="002469C4">
      <w:pPr>
        <w:spacing w:after="0"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44A14E3F" w14:textId="77777777" w:rsidR="002469C4" w:rsidRDefault="006F6E2C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A14E40" w14:textId="77777777" w:rsidR="002469C4" w:rsidRDefault="006F6E2C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Vyučujúci môže vo vzdelávacom pláne upraviť rozsah vyučovacích hodín určený učebnými osnovami. Vyučujúci vypracuje vzdelávací plán výučby v členení na jednotlivé vyučovacie jednotky. </w:t>
      </w:r>
    </w:p>
    <w:p w14:paraId="44A14E41" w14:textId="77777777" w:rsidR="002469C4" w:rsidRDefault="002469C4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44A14E42" w14:textId="77777777" w:rsidR="002469C4" w:rsidRDefault="006F6E2C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Vzdelávací plán schvaľuje predmetová komisia a prerokuje pedagogická rada.</w:t>
      </w:r>
    </w:p>
    <w:sectPr w:rsidR="002469C4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14E49" w14:textId="77777777" w:rsidR="006F6E2C" w:rsidRDefault="006F6E2C">
      <w:pPr>
        <w:spacing w:after="0" w:line="240" w:lineRule="auto"/>
      </w:pPr>
      <w:r>
        <w:separator/>
      </w:r>
    </w:p>
  </w:endnote>
  <w:endnote w:type="continuationSeparator" w:id="0">
    <w:p w14:paraId="44A14E4B" w14:textId="77777777" w:rsidR="006F6E2C" w:rsidRDefault="006F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Bodoni MT">
    <w:panose1 w:val="02070603080606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14E45" w14:textId="77777777" w:rsidR="006F6E2C" w:rsidRDefault="006F6E2C">
      <w:pPr>
        <w:spacing w:after="0" w:line="240" w:lineRule="auto"/>
      </w:pPr>
      <w:r>
        <w:separator/>
      </w:r>
    </w:p>
  </w:footnote>
  <w:footnote w:type="continuationSeparator" w:id="0">
    <w:p w14:paraId="44A14E47" w14:textId="77777777" w:rsidR="006F6E2C" w:rsidRDefault="006F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14E43" w14:textId="77777777" w:rsidR="002469C4" w:rsidRDefault="006F6E2C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Arial" w:eastAsia="Arial" w:hAnsi="Arial" w:cs="Arial"/>
        <w:noProof/>
        <w:sz w:val="24"/>
        <w:szCs w:val="24"/>
      </w:rPr>
      <w:drawing>
        <wp:inline distT="114300" distB="114300" distL="114300" distR="114300" wp14:anchorId="44A14E45" wp14:editId="44A14E46">
          <wp:extent cx="5760410" cy="5969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4A14E44" w14:textId="77777777" w:rsidR="002469C4" w:rsidRDefault="002469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9C4"/>
    <w:rsid w:val="000E2574"/>
    <w:rsid w:val="002469C4"/>
    <w:rsid w:val="006F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14D76"/>
  <w15:docId w15:val="{5A21B9BE-AAF0-493A-BF9E-D03A35A45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D468E4"/>
    <w:pPr>
      <w:suppressAutoHyphens/>
      <w:autoSpaceDN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Bezriadkovania">
    <w:name w:val="No Spacing"/>
    <w:uiPriority w:val="1"/>
    <w:qFormat/>
    <w:rsid w:val="00AC2B58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3015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155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155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15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155E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1FFE"/>
  </w:style>
  <w:style w:type="paragraph" w:styleId="Pta">
    <w:name w:val="footer"/>
    <w:basedOn w:val="Normlny"/>
    <w:link w:val="Pt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1FFE"/>
  </w:style>
  <w:style w:type="paragraph" w:styleId="Textbubliny">
    <w:name w:val="Balloon Text"/>
    <w:basedOn w:val="Normlny"/>
    <w:link w:val="TextbublinyChar"/>
    <w:uiPriority w:val="99"/>
    <w:semiHidden/>
    <w:unhideWhenUsed/>
    <w:rsid w:val="005C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38C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E55E0"/>
    <w:pPr>
      <w:autoSpaceDE w:val="0"/>
      <w:autoSpaceDN w:val="0"/>
      <w:adjustRightInd w:val="0"/>
      <w:spacing w:after="0" w:line="240" w:lineRule="auto"/>
    </w:pPr>
    <w:rPr>
      <w:rFonts w:ascii="Bodoni MT" w:hAnsi="Bodoni MT" w:cs="Bodoni MT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D70D1"/>
    <w:pPr>
      <w:spacing w:after="0" w:line="240" w:lineRule="auto"/>
      <w:ind w:left="708"/>
    </w:pPr>
    <w:rPr>
      <w:rFonts w:ascii="Arial" w:eastAsia="Times New Roman" w:hAnsi="Arial" w:cs="Times New Roman"/>
      <w:iCs/>
      <w:sz w:val="24"/>
      <w:szCs w:val="24"/>
      <w:lang w:eastAsia="cs-CZ"/>
    </w:rPr>
  </w:style>
  <w:style w:type="paragraph" w:customStyle="1" w:styleId="HeaderandFooter">
    <w:name w:val="Header and Footer"/>
    <w:basedOn w:val="Normlny"/>
    <w:rsid w:val="00D468E4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iCs/>
      <w:sz w:val="24"/>
      <w:szCs w:val="24"/>
      <w:lang w:eastAsia="cs-CZ"/>
    </w:rPr>
  </w:style>
  <w:style w:type="character" w:customStyle="1" w:styleId="NzovChar">
    <w:name w:val="Názov Char"/>
    <w:basedOn w:val="Predvolenpsmoodseku"/>
    <w:link w:val="Nzov"/>
    <w:rsid w:val="00D468E4"/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orLA4+bMlvGV6eYd1nSHnCFCnA==">CgMxLjAyDmgucmp2MTYyOWgwN2puOAByITEwRkpxLVNJVHdKb084ajF1ZXM2SFBvWmZPTmdTb0Q4Mg==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3503</Characters>
  <Application>Microsoft Office Word</Application>
  <DocSecurity>0</DocSecurity>
  <Lines>29</Lines>
  <Paragraphs>8</Paragraphs>
  <ScaleCrop>false</ScaleCrop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 Kováč</dc:creator>
  <cp:lastModifiedBy>Rusinková Hedviga RNDr.</cp:lastModifiedBy>
  <cp:revision>2</cp:revision>
  <dcterms:created xsi:type="dcterms:W3CDTF">2024-08-14T15:50:00Z</dcterms:created>
  <dcterms:modified xsi:type="dcterms:W3CDTF">2025-07-30T07:03:00Z</dcterms:modified>
</cp:coreProperties>
</file>