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A7276" w14:textId="77777777" w:rsidR="00443E3B" w:rsidRDefault="00443E3B">
      <w:pPr>
        <w:widowControl w:val="0"/>
        <w:spacing w:after="0" w:line="276" w:lineRule="auto"/>
        <w:rPr>
          <w:rFonts w:ascii="Arial" w:eastAsia="Arial" w:hAnsi="Arial" w:cs="Arial"/>
        </w:rPr>
      </w:pPr>
    </w:p>
    <w:tbl>
      <w:tblPr>
        <w:tblStyle w:val="a"/>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528"/>
      </w:tblGrid>
      <w:tr w:rsidR="00443E3B" w14:paraId="2F3A7279" w14:textId="77777777">
        <w:trPr>
          <w:trHeight w:val="528"/>
        </w:trPr>
        <w:tc>
          <w:tcPr>
            <w:tcW w:w="3539" w:type="dxa"/>
            <w:vAlign w:val="center"/>
          </w:tcPr>
          <w:p w14:paraId="2F3A7277"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Názov vyučovacieho predmetu</w:t>
            </w:r>
          </w:p>
        </w:tc>
        <w:tc>
          <w:tcPr>
            <w:tcW w:w="5528" w:type="dxa"/>
            <w:vAlign w:val="center"/>
          </w:tcPr>
          <w:p w14:paraId="2F3A7278" w14:textId="30C5C184" w:rsidR="00443E3B" w:rsidRPr="000D21AE" w:rsidRDefault="000D21AE">
            <w:pPr>
              <w:spacing w:after="0" w:line="240" w:lineRule="auto"/>
              <w:rPr>
                <w:rFonts w:ascii="Arial" w:eastAsia="Arial" w:hAnsi="Arial" w:cs="Arial"/>
                <w:bCs/>
                <w:sz w:val="24"/>
                <w:szCs w:val="24"/>
              </w:rPr>
            </w:pPr>
            <w:r w:rsidRPr="000D21AE">
              <w:rPr>
                <w:rFonts w:ascii="Arial" w:eastAsia="Arial" w:hAnsi="Arial" w:cs="Arial"/>
                <w:bCs/>
                <w:sz w:val="24"/>
                <w:szCs w:val="24"/>
              </w:rPr>
              <w:t>ODBORNÁ PRAX</w:t>
            </w:r>
          </w:p>
        </w:tc>
      </w:tr>
      <w:tr w:rsidR="00443E3B" w14:paraId="2F3A727C" w14:textId="77777777">
        <w:trPr>
          <w:trHeight w:val="290"/>
        </w:trPr>
        <w:tc>
          <w:tcPr>
            <w:tcW w:w="3539" w:type="dxa"/>
            <w:vAlign w:val="center"/>
          </w:tcPr>
          <w:p w14:paraId="2F3A727A"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Počet vyučovacích hodín v ročníkoch</w:t>
            </w:r>
          </w:p>
        </w:tc>
        <w:tc>
          <w:tcPr>
            <w:tcW w:w="5528" w:type="dxa"/>
            <w:vAlign w:val="center"/>
          </w:tcPr>
          <w:p w14:paraId="2F3A727B"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 xml:space="preserve">0 + 0 + 99 + 90 = 189 hodín  </w:t>
            </w:r>
          </w:p>
        </w:tc>
      </w:tr>
      <w:tr w:rsidR="00443E3B" w14:paraId="2F3A727F" w14:textId="77777777">
        <w:trPr>
          <w:trHeight w:val="290"/>
        </w:trPr>
        <w:tc>
          <w:tcPr>
            <w:tcW w:w="3539" w:type="dxa"/>
            <w:vAlign w:val="center"/>
          </w:tcPr>
          <w:p w14:paraId="2F3A727D"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Stredná odborná škola</w:t>
            </w:r>
          </w:p>
        </w:tc>
        <w:tc>
          <w:tcPr>
            <w:tcW w:w="5528" w:type="dxa"/>
            <w:vAlign w:val="center"/>
          </w:tcPr>
          <w:p w14:paraId="2F3A727E"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Stredná priemyselná škola strojnícka, Duklianska 1, Prešov</w:t>
            </w:r>
          </w:p>
        </w:tc>
      </w:tr>
      <w:tr w:rsidR="00443E3B" w14:paraId="2F3A7282" w14:textId="77777777">
        <w:trPr>
          <w:trHeight w:val="290"/>
        </w:trPr>
        <w:tc>
          <w:tcPr>
            <w:tcW w:w="3539" w:type="dxa"/>
            <w:vAlign w:val="center"/>
          </w:tcPr>
          <w:p w14:paraId="2F3A7280"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Názov ŠVP  </w:t>
            </w:r>
          </w:p>
        </w:tc>
        <w:tc>
          <w:tcPr>
            <w:tcW w:w="5528" w:type="dxa"/>
            <w:vAlign w:val="center"/>
          </w:tcPr>
          <w:p w14:paraId="2F3A7281"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39 Špeciálne technické odbory</w:t>
            </w:r>
          </w:p>
        </w:tc>
      </w:tr>
      <w:tr w:rsidR="00443E3B" w14:paraId="2F3A7285" w14:textId="77777777">
        <w:trPr>
          <w:trHeight w:val="290"/>
        </w:trPr>
        <w:tc>
          <w:tcPr>
            <w:tcW w:w="3539" w:type="dxa"/>
            <w:vAlign w:val="center"/>
          </w:tcPr>
          <w:p w14:paraId="2F3A7283"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Názov ŠkVP</w:t>
            </w:r>
          </w:p>
        </w:tc>
        <w:tc>
          <w:tcPr>
            <w:tcW w:w="5528" w:type="dxa"/>
            <w:vAlign w:val="center"/>
          </w:tcPr>
          <w:p w14:paraId="2F3A7284" w14:textId="77777777" w:rsidR="00443E3B" w:rsidRDefault="000D21AE">
            <w:pPr>
              <w:spacing w:after="0" w:line="240" w:lineRule="auto"/>
              <w:rPr>
                <w:rFonts w:ascii="Arial" w:eastAsia="Arial" w:hAnsi="Arial" w:cs="Arial"/>
                <w:smallCaps/>
                <w:sz w:val="20"/>
                <w:szCs w:val="20"/>
              </w:rPr>
            </w:pPr>
            <w:r>
              <w:rPr>
                <w:rFonts w:ascii="Arial" w:eastAsia="Arial" w:hAnsi="Arial" w:cs="Arial"/>
                <w:sz w:val="20"/>
                <w:szCs w:val="20"/>
              </w:rPr>
              <w:t>Logistika</w:t>
            </w:r>
          </w:p>
        </w:tc>
      </w:tr>
      <w:tr w:rsidR="00443E3B" w14:paraId="2F3A7288" w14:textId="77777777">
        <w:trPr>
          <w:trHeight w:val="290"/>
        </w:trPr>
        <w:tc>
          <w:tcPr>
            <w:tcW w:w="3539" w:type="dxa"/>
            <w:vAlign w:val="center"/>
          </w:tcPr>
          <w:p w14:paraId="2F3A7286"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Študijný odbor</w:t>
            </w:r>
          </w:p>
        </w:tc>
        <w:tc>
          <w:tcPr>
            <w:tcW w:w="5528" w:type="dxa"/>
            <w:vAlign w:val="center"/>
          </w:tcPr>
          <w:p w14:paraId="2F3A7287" w14:textId="77777777" w:rsidR="00443E3B" w:rsidRDefault="000D21AE">
            <w:pPr>
              <w:spacing w:after="0" w:line="240" w:lineRule="auto"/>
              <w:rPr>
                <w:rFonts w:ascii="Arial" w:eastAsia="Arial" w:hAnsi="Arial" w:cs="Arial"/>
                <w:smallCaps/>
                <w:strike/>
                <w:sz w:val="20"/>
                <w:szCs w:val="20"/>
              </w:rPr>
            </w:pPr>
            <w:r>
              <w:rPr>
                <w:rFonts w:ascii="Arial" w:eastAsia="Arial" w:hAnsi="Arial" w:cs="Arial"/>
                <w:smallCaps/>
                <w:sz w:val="20"/>
                <w:szCs w:val="20"/>
              </w:rPr>
              <w:t xml:space="preserve">3968 M </w:t>
            </w:r>
            <w:r>
              <w:rPr>
                <w:rFonts w:ascii="Arial" w:eastAsia="Arial" w:hAnsi="Arial" w:cs="Arial"/>
                <w:sz w:val="20"/>
                <w:szCs w:val="20"/>
              </w:rPr>
              <w:t>logistika</w:t>
            </w:r>
          </w:p>
        </w:tc>
      </w:tr>
      <w:tr w:rsidR="00443E3B" w14:paraId="2F3A728B" w14:textId="77777777">
        <w:trPr>
          <w:trHeight w:val="290"/>
        </w:trPr>
        <w:tc>
          <w:tcPr>
            <w:tcW w:w="3539" w:type="dxa"/>
            <w:vAlign w:val="center"/>
          </w:tcPr>
          <w:p w14:paraId="2F3A7289"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Stupeň vzdelania</w:t>
            </w:r>
          </w:p>
        </w:tc>
        <w:tc>
          <w:tcPr>
            <w:tcW w:w="5528" w:type="dxa"/>
            <w:vAlign w:val="center"/>
          </w:tcPr>
          <w:p w14:paraId="2F3A728A"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 xml:space="preserve">úplné stredné odborné vzdelanie </w:t>
            </w:r>
          </w:p>
        </w:tc>
      </w:tr>
      <w:tr w:rsidR="00443E3B" w14:paraId="2F3A728E" w14:textId="77777777">
        <w:trPr>
          <w:trHeight w:val="290"/>
        </w:trPr>
        <w:tc>
          <w:tcPr>
            <w:tcW w:w="3539" w:type="dxa"/>
            <w:vAlign w:val="center"/>
          </w:tcPr>
          <w:p w14:paraId="2F3A728C"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Úroveň SKKR/EKR</w:t>
            </w:r>
          </w:p>
        </w:tc>
        <w:tc>
          <w:tcPr>
            <w:tcW w:w="5528" w:type="dxa"/>
            <w:vAlign w:val="center"/>
          </w:tcPr>
          <w:p w14:paraId="2F3A728D"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4</w:t>
            </w:r>
          </w:p>
        </w:tc>
      </w:tr>
      <w:tr w:rsidR="00443E3B" w14:paraId="2F3A7291" w14:textId="77777777">
        <w:trPr>
          <w:trHeight w:val="290"/>
        </w:trPr>
        <w:tc>
          <w:tcPr>
            <w:tcW w:w="3539" w:type="dxa"/>
            <w:vAlign w:val="center"/>
          </w:tcPr>
          <w:p w14:paraId="2F3A728F"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Dĺžka štúdia</w:t>
            </w:r>
          </w:p>
        </w:tc>
        <w:tc>
          <w:tcPr>
            <w:tcW w:w="5528" w:type="dxa"/>
            <w:vAlign w:val="center"/>
          </w:tcPr>
          <w:p w14:paraId="2F3A7290"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4 roky</w:t>
            </w:r>
          </w:p>
        </w:tc>
      </w:tr>
      <w:tr w:rsidR="00443E3B" w14:paraId="2F3A7294" w14:textId="77777777">
        <w:trPr>
          <w:trHeight w:val="290"/>
        </w:trPr>
        <w:tc>
          <w:tcPr>
            <w:tcW w:w="3539" w:type="dxa"/>
            <w:vAlign w:val="center"/>
          </w:tcPr>
          <w:p w14:paraId="2F3A7292"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Forma štúdia</w:t>
            </w:r>
          </w:p>
        </w:tc>
        <w:tc>
          <w:tcPr>
            <w:tcW w:w="5528" w:type="dxa"/>
            <w:vAlign w:val="center"/>
          </w:tcPr>
          <w:p w14:paraId="2F3A7293"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denná</w:t>
            </w:r>
          </w:p>
        </w:tc>
      </w:tr>
      <w:tr w:rsidR="00443E3B" w14:paraId="2F3A7297" w14:textId="77777777">
        <w:trPr>
          <w:trHeight w:val="290"/>
        </w:trPr>
        <w:tc>
          <w:tcPr>
            <w:tcW w:w="3539" w:type="dxa"/>
            <w:vAlign w:val="center"/>
          </w:tcPr>
          <w:p w14:paraId="2F3A7295"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Vyučovací jazyk</w:t>
            </w:r>
          </w:p>
        </w:tc>
        <w:tc>
          <w:tcPr>
            <w:tcW w:w="5528" w:type="dxa"/>
            <w:vAlign w:val="center"/>
          </w:tcPr>
          <w:p w14:paraId="2F3A7296"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slovenský</w:t>
            </w:r>
          </w:p>
        </w:tc>
      </w:tr>
      <w:tr w:rsidR="00443E3B" w14:paraId="2F3A729A" w14:textId="77777777">
        <w:trPr>
          <w:trHeight w:val="290"/>
        </w:trPr>
        <w:tc>
          <w:tcPr>
            <w:tcW w:w="3539" w:type="dxa"/>
            <w:vAlign w:val="center"/>
          </w:tcPr>
          <w:p w14:paraId="2F3A7298"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Platnosť učebných osnov</w:t>
            </w:r>
          </w:p>
        </w:tc>
        <w:tc>
          <w:tcPr>
            <w:tcW w:w="5528" w:type="dxa"/>
            <w:vAlign w:val="center"/>
          </w:tcPr>
          <w:p w14:paraId="2F3A7299"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Od 01.09.2025 počnúc 1. ročníkom</w:t>
            </w:r>
          </w:p>
        </w:tc>
      </w:tr>
    </w:tbl>
    <w:p w14:paraId="2F3A729B" w14:textId="77777777" w:rsidR="00443E3B" w:rsidRDefault="00443E3B">
      <w:pPr>
        <w:jc w:val="center"/>
        <w:rPr>
          <w:rFonts w:ascii="Arial" w:eastAsia="Arial" w:hAnsi="Arial" w:cs="Arial"/>
          <w:sz w:val="20"/>
          <w:szCs w:val="20"/>
        </w:rPr>
      </w:pPr>
    </w:p>
    <w:p w14:paraId="2F3A729C" w14:textId="77777777" w:rsidR="00443E3B" w:rsidRDefault="00443E3B">
      <w:pPr>
        <w:keepNext/>
        <w:spacing w:after="0" w:line="360" w:lineRule="auto"/>
        <w:jc w:val="both"/>
        <w:rPr>
          <w:rFonts w:ascii="Arial" w:eastAsia="Arial" w:hAnsi="Arial" w:cs="Arial"/>
          <w:sz w:val="20"/>
          <w:szCs w:val="20"/>
        </w:rPr>
      </w:pPr>
    </w:p>
    <w:p w14:paraId="2F3A729D" w14:textId="77777777" w:rsidR="00443E3B" w:rsidRDefault="00443E3B">
      <w:pPr>
        <w:keepNext/>
        <w:spacing w:after="0" w:line="360" w:lineRule="auto"/>
        <w:jc w:val="both"/>
        <w:rPr>
          <w:rFonts w:ascii="Arial" w:eastAsia="Arial" w:hAnsi="Arial" w:cs="Arial"/>
          <w:sz w:val="20"/>
          <w:szCs w:val="20"/>
        </w:rPr>
      </w:pPr>
    </w:p>
    <w:p w14:paraId="2F3A729E" w14:textId="77777777" w:rsidR="00443E3B" w:rsidRDefault="000D21AE">
      <w:pPr>
        <w:shd w:val="clear" w:color="auto" w:fill="FFFF00"/>
        <w:jc w:val="center"/>
        <w:rPr>
          <w:rFonts w:ascii="Arial" w:eastAsia="Arial" w:hAnsi="Arial" w:cs="Arial"/>
          <w:b/>
          <w:sz w:val="20"/>
          <w:szCs w:val="20"/>
        </w:rPr>
      </w:pPr>
      <w:r>
        <w:rPr>
          <w:rFonts w:ascii="Arial" w:eastAsia="Arial" w:hAnsi="Arial" w:cs="Arial"/>
          <w:b/>
          <w:sz w:val="20"/>
          <w:szCs w:val="20"/>
        </w:rPr>
        <w:t>Charakteristika vyučovacieho predmetu</w:t>
      </w:r>
    </w:p>
    <w:p w14:paraId="2F3A729F" w14:textId="77777777" w:rsidR="00443E3B" w:rsidRDefault="000D21AE">
      <w:pPr>
        <w:keepNext/>
        <w:spacing w:after="0" w:line="360" w:lineRule="auto"/>
        <w:jc w:val="both"/>
        <w:rPr>
          <w:rFonts w:ascii="Arial" w:eastAsia="Arial" w:hAnsi="Arial" w:cs="Arial"/>
          <w:sz w:val="20"/>
          <w:szCs w:val="20"/>
        </w:rPr>
      </w:pPr>
      <w:r>
        <w:rPr>
          <w:rFonts w:ascii="Arial" w:eastAsia="Arial" w:hAnsi="Arial" w:cs="Arial"/>
          <w:sz w:val="20"/>
          <w:szCs w:val="20"/>
        </w:rPr>
        <w:t>Hlavným cieľom tohto predmetu je  nadobúdanie praktických zručnosti formou cvičnej a produktívnej práce, získavanie pracovných návykov, zlepšenie odborných vedomostí, prepojenie teoretických poznatkov s praktickou činnosťou, získanie konkrétnej predstavy o technologických operáciách, rozvoj technického myslenia a kreativity.</w:t>
      </w:r>
      <w:r>
        <w:rPr>
          <w:rFonts w:ascii="Arial" w:eastAsia="Arial" w:hAnsi="Arial" w:cs="Arial"/>
          <w:strike/>
          <w:sz w:val="20"/>
          <w:szCs w:val="20"/>
        </w:rPr>
        <w:t xml:space="preserve"> </w:t>
      </w:r>
      <w:r>
        <w:rPr>
          <w:rFonts w:ascii="Arial" w:eastAsia="Arial" w:hAnsi="Arial" w:cs="Arial"/>
          <w:sz w:val="20"/>
          <w:szCs w:val="20"/>
        </w:rPr>
        <w:t>Učivo tretieho ročníka je rozdelené do troch tematických celkov. Žiaci sa naučia merať súčiastky prostredníctvom oceľového pravítka,  posuvného meradla a mikrometra. Naučia sa  pracovať s náradím pre ručné spracovanie kovov, kde si vyskúšajú delenie materiálov, vŕtanie otvorov, ohýbanie a dokončovacie operácie súvisiace s ručným spracovaním.</w:t>
      </w:r>
      <w:r>
        <w:rPr>
          <w:rFonts w:ascii="Arial" w:eastAsia="Arial" w:hAnsi="Arial" w:cs="Arial"/>
          <w:b/>
          <w:sz w:val="20"/>
          <w:szCs w:val="20"/>
        </w:rPr>
        <w:t xml:space="preserve"> </w:t>
      </w:r>
      <w:r>
        <w:rPr>
          <w:rFonts w:ascii="Arial" w:eastAsia="Arial" w:hAnsi="Arial" w:cs="Arial"/>
          <w:sz w:val="20"/>
          <w:szCs w:val="20"/>
        </w:rPr>
        <w:t>Ich výstupom bude vyhotovenie výrobku podľa výkresovej dokumentácie a zhodnotenie správnosti výroby na základe nameraných hodnôt.  Žiaci  si taktiež  osvoja spôsob výr</w:t>
      </w:r>
      <w:r>
        <w:rPr>
          <w:rFonts w:ascii="Arial" w:eastAsia="Arial" w:hAnsi="Arial" w:cs="Arial"/>
          <w:sz w:val="20"/>
          <w:szCs w:val="20"/>
        </w:rPr>
        <w:t>oby rozoberateľných a nerozoberateľných spojov pri výrobe vonkajších a vnútorných závitov. Vyskúšajú si návrh a výrobu nitového spoja, prácu s plastmi a ich spracovaním.  V tejto časti taktiež na základe výrobného a montážneho postupu zhotovia jednoduchý výrobok.  V tematickom  celku  CAD systémy sa naučia základom konštruovania jednoduchých rotačných a plochých súčiastok a ich výstupom bude jednoduchá výkresová dokumentácia na zhotovenie výrobku či už prostredníctvom sústruženia alebo frézovania strojné tr</w:t>
      </w:r>
      <w:r>
        <w:rPr>
          <w:rFonts w:ascii="Arial" w:eastAsia="Arial" w:hAnsi="Arial" w:cs="Arial"/>
          <w:sz w:val="20"/>
          <w:szCs w:val="20"/>
        </w:rPr>
        <w:t xml:space="preserve">ieskové obrábania si žiaci osvoja základy bezpečnosti práce pri obrábacích strojoch oboznámia sa so základmi sústruženia a frézovania a na základe výkresovej dokumentácie vyrobia jednoduchú súčiastku, ktorú na základe meraní vyhodnotia. Štvrtý ročník je venovaný podnikovej logistike vo forme ročníkovej práce. Žiaci sa naučia aplikovať získané teoretické vedomosti do praxe kde ich výstupom </w:t>
      </w:r>
      <w:r>
        <w:rPr>
          <w:rFonts w:ascii="Arial" w:eastAsia="Arial" w:hAnsi="Arial" w:cs="Arial"/>
          <w:sz w:val="20"/>
          <w:szCs w:val="20"/>
        </w:rPr>
        <w:lastRenderedPageBreak/>
        <w:t xml:space="preserve">bude ročníkový projekt kde budú žiaci riešiť úlohy logistických tokov, analyzovať dodávateľsko odberateľské vzťahy a na </w:t>
      </w:r>
      <w:r>
        <w:rPr>
          <w:rFonts w:ascii="Arial" w:eastAsia="Arial" w:hAnsi="Arial" w:cs="Arial"/>
          <w:sz w:val="20"/>
          <w:szCs w:val="20"/>
        </w:rPr>
        <w:t xml:space="preserve">základe podkladov optimalizovať a analyzovať správne fungovanie firmy. </w:t>
      </w:r>
    </w:p>
    <w:p w14:paraId="2F3A72A0" w14:textId="77777777" w:rsidR="00443E3B" w:rsidRDefault="00443E3B">
      <w:pPr>
        <w:keepNext/>
        <w:jc w:val="both"/>
        <w:rPr>
          <w:rFonts w:ascii="Times New Roman" w:eastAsia="Times New Roman" w:hAnsi="Times New Roman" w:cs="Times New Roman"/>
          <w:b/>
        </w:rPr>
      </w:pPr>
    </w:p>
    <w:p w14:paraId="2F3A72A1" w14:textId="77777777" w:rsidR="00443E3B" w:rsidRDefault="00443E3B">
      <w:pPr>
        <w:keepNext/>
        <w:jc w:val="both"/>
        <w:rPr>
          <w:rFonts w:ascii="Times New Roman" w:eastAsia="Times New Roman" w:hAnsi="Times New Roman" w:cs="Times New Roman"/>
          <w:b/>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25"/>
        <w:gridCol w:w="1842"/>
      </w:tblGrid>
      <w:tr w:rsidR="00443E3B" w14:paraId="2F3A72A3" w14:textId="77777777">
        <w:trPr>
          <w:trHeight w:val="720"/>
        </w:trPr>
        <w:tc>
          <w:tcPr>
            <w:tcW w:w="9067" w:type="dxa"/>
            <w:gridSpan w:val="2"/>
            <w:tcBorders>
              <w:top w:val="single" w:sz="4" w:space="0" w:color="000000"/>
              <w:left w:val="single" w:sz="4" w:space="0" w:color="000000"/>
              <w:bottom w:val="single" w:sz="4" w:space="0" w:color="000000"/>
              <w:right w:val="single" w:sz="4" w:space="0" w:color="000000"/>
            </w:tcBorders>
            <w:vAlign w:val="center"/>
          </w:tcPr>
          <w:p w14:paraId="2F3A72A2" w14:textId="77777777" w:rsidR="00443E3B" w:rsidRDefault="000D21AE">
            <w:pPr>
              <w:spacing w:after="0" w:line="240" w:lineRule="auto"/>
              <w:jc w:val="center"/>
              <w:rPr>
                <w:rFonts w:ascii="Arial" w:eastAsia="Arial" w:hAnsi="Arial" w:cs="Arial"/>
                <w:b/>
                <w:sz w:val="20"/>
                <w:szCs w:val="20"/>
              </w:rPr>
            </w:pPr>
            <w:r>
              <w:rPr>
                <w:rFonts w:ascii="Arial" w:eastAsia="Arial" w:hAnsi="Arial" w:cs="Arial"/>
                <w:b/>
                <w:sz w:val="20"/>
                <w:szCs w:val="20"/>
              </w:rPr>
              <w:t>Rámcový rozpis učiva</w:t>
            </w:r>
          </w:p>
        </w:tc>
      </w:tr>
      <w:tr w:rsidR="00443E3B" w14:paraId="2F3A72A6" w14:textId="77777777">
        <w:trPr>
          <w:trHeight w:val="340"/>
        </w:trPr>
        <w:tc>
          <w:tcPr>
            <w:tcW w:w="7225" w:type="dxa"/>
            <w:tcBorders>
              <w:top w:val="single" w:sz="4" w:space="0" w:color="000000"/>
              <w:left w:val="single" w:sz="4" w:space="0" w:color="000000"/>
              <w:bottom w:val="single" w:sz="4" w:space="0" w:color="000000"/>
              <w:right w:val="single" w:sz="4" w:space="0" w:color="000000"/>
            </w:tcBorders>
            <w:shd w:val="clear" w:color="auto" w:fill="D9E2F3"/>
            <w:vAlign w:val="bottom"/>
          </w:tcPr>
          <w:p w14:paraId="2F3A72A4"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3. ročník</w:t>
            </w:r>
          </w:p>
        </w:tc>
        <w:tc>
          <w:tcPr>
            <w:tcW w:w="1842" w:type="dxa"/>
            <w:tcBorders>
              <w:top w:val="single" w:sz="4" w:space="0" w:color="000000"/>
              <w:left w:val="single" w:sz="4" w:space="0" w:color="000000"/>
              <w:bottom w:val="single" w:sz="4" w:space="0" w:color="000000"/>
              <w:right w:val="single" w:sz="4" w:space="0" w:color="000000"/>
            </w:tcBorders>
            <w:shd w:val="clear" w:color="auto" w:fill="D9E2F3"/>
            <w:vAlign w:val="bottom"/>
          </w:tcPr>
          <w:p w14:paraId="2F3A72A5"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99 hodín spolu</w:t>
            </w:r>
          </w:p>
        </w:tc>
      </w:tr>
      <w:tr w:rsidR="00443E3B" w14:paraId="2F3A72A9"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A7"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Ručné spracovanie a spájanie kovov</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A8"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33 hodín</w:t>
            </w:r>
          </w:p>
        </w:tc>
      </w:tr>
      <w:tr w:rsidR="00443E3B" w14:paraId="2F3A72AC"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AA"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Poučenie žiakov o BOZP</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AB" w14:textId="77777777" w:rsidR="00443E3B" w:rsidRDefault="00443E3B">
            <w:pPr>
              <w:rPr>
                <w:rFonts w:ascii="Arial" w:eastAsia="Arial" w:hAnsi="Arial" w:cs="Arial"/>
                <w:sz w:val="20"/>
                <w:szCs w:val="20"/>
              </w:rPr>
            </w:pPr>
          </w:p>
        </w:tc>
      </w:tr>
      <w:tr w:rsidR="00443E3B" w14:paraId="2F3A72AF"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AD"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 xml:space="preserve">Meranie </w:t>
            </w:r>
            <w:proofErr w:type="spellStart"/>
            <w:r>
              <w:rPr>
                <w:rFonts w:ascii="Arial" w:eastAsia="Arial" w:hAnsi="Arial" w:cs="Arial"/>
                <w:sz w:val="20"/>
                <w:szCs w:val="20"/>
              </w:rPr>
              <w:t>orysovanie</w:t>
            </w:r>
            <w:proofErr w:type="spellEnd"/>
          </w:p>
        </w:tc>
        <w:tc>
          <w:tcPr>
            <w:tcW w:w="1842" w:type="dxa"/>
            <w:tcBorders>
              <w:top w:val="single" w:sz="4" w:space="0" w:color="000000"/>
              <w:left w:val="single" w:sz="4" w:space="0" w:color="000000"/>
              <w:bottom w:val="single" w:sz="4" w:space="0" w:color="000000"/>
              <w:right w:val="single" w:sz="4" w:space="0" w:color="000000"/>
            </w:tcBorders>
            <w:vAlign w:val="bottom"/>
          </w:tcPr>
          <w:p w14:paraId="2F3A72AE" w14:textId="77777777" w:rsidR="00443E3B" w:rsidRDefault="00443E3B">
            <w:pPr>
              <w:spacing w:after="0" w:line="240" w:lineRule="auto"/>
              <w:rPr>
                <w:rFonts w:ascii="Arial" w:eastAsia="Arial" w:hAnsi="Arial" w:cs="Arial"/>
                <w:sz w:val="20"/>
                <w:szCs w:val="20"/>
              </w:rPr>
            </w:pPr>
          </w:p>
        </w:tc>
      </w:tr>
      <w:tr w:rsidR="00443E3B" w14:paraId="2F3A72B2"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B0"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Delenie polotovarov</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B1" w14:textId="77777777" w:rsidR="00443E3B" w:rsidRDefault="00443E3B">
            <w:pPr>
              <w:spacing w:after="0" w:line="240" w:lineRule="auto"/>
              <w:rPr>
                <w:rFonts w:ascii="Arial" w:eastAsia="Arial" w:hAnsi="Arial" w:cs="Arial"/>
                <w:sz w:val="20"/>
                <w:szCs w:val="20"/>
              </w:rPr>
            </w:pPr>
          </w:p>
        </w:tc>
      </w:tr>
      <w:tr w:rsidR="00443E3B" w14:paraId="2F3A72B5"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B3"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Ručné dokončovacie operácie</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B4" w14:textId="77777777" w:rsidR="00443E3B" w:rsidRDefault="00443E3B">
            <w:pPr>
              <w:spacing w:after="0" w:line="240" w:lineRule="auto"/>
              <w:rPr>
                <w:rFonts w:ascii="Arial" w:eastAsia="Arial" w:hAnsi="Arial" w:cs="Arial"/>
                <w:b/>
                <w:sz w:val="20"/>
                <w:szCs w:val="20"/>
              </w:rPr>
            </w:pPr>
          </w:p>
        </w:tc>
      </w:tr>
      <w:tr w:rsidR="00443E3B" w14:paraId="2F3A72B8"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B6"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Výroba otvorov</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B7" w14:textId="77777777" w:rsidR="00443E3B" w:rsidRDefault="00443E3B">
            <w:pPr>
              <w:spacing w:after="0" w:line="240" w:lineRule="auto"/>
              <w:rPr>
                <w:rFonts w:ascii="Arial" w:eastAsia="Arial" w:hAnsi="Arial" w:cs="Arial"/>
                <w:sz w:val="20"/>
                <w:szCs w:val="20"/>
              </w:rPr>
            </w:pPr>
          </w:p>
        </w:tc>
      </w:tr>
      <w:tr w:rsidR="00443E3B" w14:paraId="2F3A72BB"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B9"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Tvárnenie za studena</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BA" w14:textId="77777777" w:rsidR="00443E3B" w:rsidRDefault="00443E3B">
            <w:pPr>
              <w:spacing w:after="0" w:line="240" w:lineRule="auto"/>
              <w:rPr>
                <w:rFonts w:ascii="Arial" w:eastAsia="Arial" w:hAnsi="Arial" w:cs="Arial"/>
                <w:sz w:val="20"/>
                <w:szCs w:val="20"/>
              </w:rPr>
            </w:pPr>
          </w:p>
        </w:tc>
      </w:tr>
      <w:tr w:rsidR="00443E3B" w14:paraId="2F3A72BE"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BC"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Výroba skrutkového a nitového spoja</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BD" w14:textId="77777777" w:rsidR="00443E3B" w:rsidRDefault="00443E3B">
            <w:pPr>
              <w:spacing w:after="0" w:line="240" w:lineRule="auto"/>
              <w:rPr>
                <w:rFonts w:ascii="Arial" w:eastAsia="Arial" w:hAnsi="Arial" w:cs="Arial"/>
                <w:sz w:val="20"/>
                <w:szCs w:val="20"/>
              </w:rPr>
            </w:pPr>
          </w:p>
        </w:tc>
      </w:tr>
      <w:tr w:rsidR="00443E3B" w14:paraId="2F3A72C1"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BF"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Lepené spoje</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C0" w14:textId="77777777" w:rsidR="00443E3B" w:rsidRDefault="00443E3B">
            <w:pPr>
              <w:spacing w:after="0" w:line="240" w:lineRule="auto"/>
              <w:rPr>
                <w:rFonts w:ascii="Arial" w:eastAsia="Arial" w:hAnsi="Arial" w:cs="Arial"/>
                <w:sz w:val="20"/>
                <w:szCs w:val="20"/>
              </w:rPr>
            </w:pPr>
          </w:p>
        </w:tc>
      </w:tr>
      <w:tr w:rsidR="00443E3B" w14:paraId="2F3A72C4"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C2"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Strojné trieskové obrábanie</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C3"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33 hodín</w:t>
            </w:r>
          </w:p>
        </w:tc>
      </w:tr>
      <w:tr w:rsidR="00443E3B" w14:paraId="2F3A72C7"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C5"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Poučenie žiakov o BOZP</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C6" w14:textId="77777777" w:rsidR="00443E3B" w:rsidRDefault="00443E3B">
            <w:pPr>
              <w:spacing w:after="0" w:line="240" w:lineRule="auto"/>
              <w:rPr>
                <w:rFonts w:ascii="Arial" w:eastAsia="Arial" w:hAnsi="Arial" w:cs="Arial"/>
                <w:sz w:val="20"/>
                <w:szCs w:val="20"/>
              </w:rPr>
            </w:pPr>
          </w:p>
        </w:tc>
      </w:tr>
      <w:tr w:rsidR="00443E3B" w14:paraId="2F3A72CA"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C8"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Meranie posuvným meradlom a mikrometrom</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C9" w14:textId="77777777" w:rsidR="00443E3B" w:rsidRDefault="00443E3B">
            <w:pPr>
              <w:spacing w:after="0" w:line="240" w:lineRule="auto"/>
              <w:rPr>
                <w:rFonts w:ascii="Arial" w:eastAsia="Arial" w:hAnsi="Arial" w:cs="Arial"/>
                <w:sz w:val="20"/>
                <w:szCs w:val="20"/>
              </w:rPr>
            </w:pPr>
          </w:p>
        </w:tc>
      </w:tr>
      <w:tr w:rsidR="00443E3B" w14:paraId="2F3A72CD"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CB"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Sústruženie čelných plôch</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CC" w14:textId="77777777" w:rsidR="00443E3B" w:rsidRDefault="00443E3B">
            <w:pPr>
              <w:spacing w:after="0" w:line="240" w:lineRule="auto"/>
              <w:rPr>
                <w:rFonts w:ascii="Arial" w:eastAsia="Arial" w:hAnsi="Arial" w:cs="Arial"/>
                <w:sz w:val="20"/>
                <w:szCs w:val="20"/>
              </w:rPr>
            </w:pPr>
          </w:p>
        </w:tc>
      </w:tr>
      <w:tr w:rsidR="00443E3B" w14:paraId="2F3A72D0"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CE"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Sústruženie a meranie valcových plôch</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CF" w14:textId="77777777" w:rsidR="00443E3B" w:rsidRDefault="00443E3B">
            <w:pPr>
              <w:spacing w:after="0" w:line="240" w:lineRule="auto"/>
              <w:rPr>
                <w:rFonts w:ascii="Arial" w:eastAsia="Arial" w:hAnsi="Arial" w:cs="Arial"/>
                <w:sz w:val="20"/>
                <w:szCs w:val="20"/>
              </w:rPr>
            </w:pPr>
          </w:p>
        </w:tc>
      </w:tr>
      <w:tr w:rsidR="00443E3B" w14:paraId="2F3A72D3"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D1"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Vŕtanie otvorov</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D2" w14:textId="77777777" w:rsidR="00443E3B" w:rsidRDefault="00443E3B">
            <w:pPr>
              <w:spacing w:after="0" w:line="240" w:lineRule="auto"/>
              <w:rPr>
                <w:rFonts w:ascii="Arial" w:eastAsia="Arial" w:hAnsi="Arial" w:cs="Arial"/>
                <w:sz w:val="20"/>
                <w:szCs w:val="20"/>
              </w:rPr>
            </w:pPr>
          </w:p>
        </w:tc>
      </w:tr>
      <w:tr w:rsidR="00443E3B" w14:paraId="2F3A72D6"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D4"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Frézovanie jednoduchých plochých súčiastok</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D5" w14:textId="77777777" w:rsidR="00443E3B" w:rsidRDefault="00443E3B">
            <w:pPr>
              <w:spacing w:after="0" w:line="240" w:lineRule="auto"/>
              <w:rPr>
                <w:rFonts w:ascii="Arial" w:eastAsia="Arial" w:hAnsi="Arial" w:cs="Arial"/>
                <w:sz w:val="20"/>
                <w:szCs w:val="20"/>
              </w:rPr>
            </w:pPr>
          </w:p>
        </w:tc>
      </w:tr>
      <w:tr w:rsidR="00443E3B" w14:paraId="2F3A72D9"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D7" w14:textId="77777777" w:rsidR="00443E3B" w:rsidRDefault="000D21AE">
            <w:pPr>
              <w:spacing w:after="0" w:line="240" w:lineRule="auto"/>
              <w:rPr>
                <w:rFonts w:ascii="Arial" w:eastAsia="Arial" w:hAnsi="Arial" w:cs="Arial"/>
                <w:sz w:val="20"/>
                <w:szCs w:val="20"/>
              </w:rPr>
            </w:pPr>
            <w:proofErr w:type="spellStart"/>
            <w:r>
              <w:rPr>
                <w:rFonts w:ascii="Arial" w:eastAsia="Arial" w:hAnsi="Arial" w:cs="Arial"/>
                <w:sz w:val="20"/>
                <w:szCs w:val="20"/>
              </w:rPr>
              <w:t>Obrážanie</w:t>
            </w:r>
            <w:proofErr w:type="spellEnd"/>
            <w:r>
              <w:rPr>
                <w:rFonts w:ascii="Arial" w:eastAsia="Arial" w:hAnsi="Arial" w:cs="Arial"/>
                <w:sz w:val="20"/>
                <w:szCs w:val="20"/>
              </w:rPr>
              <w:t xml:space="preserve"> </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D8" w14:textId="77777777" w:rsidR="00443E3B" w:rsidRDefault="00443E3B">
            <w:pPr>
              <w:spacing w:after="0" w:line="240" w:lineRule="auto"/>
              <w:rPr>
                <w:rFonts w:ascii="Arial" w:eastAsia="Arial" w:hAnsi="Arial" w:cs="Arial"/>
                <w:sz w:val="20"/>
                <w:szCs w:val="20"/>
              </w:rPr>
            </w:pPr>
          </w:p>
        </w:tc>
      </w:tr>
      <w:tr w:rsidR="00443E3B" w14:paraId="2F3A72DC"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DA"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CAD programy</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DB"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33 hodín</w:t>
            </w:r>
          </w:p>
        </w:tc>
      </w:tr>
      <w:tr w:rsidR="00443E3B" w14:paraId="2F3A72DF"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DD"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Základné prostredie CAD programu</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DE" w14:textId="77777777" w:rsidR="00443E3B" w:rsidRDefault="00443E3B">
            <w:pPr>
              <w:spacing w:after="0" w:line="240" w:lineRule="auto"/>
              <w:rPr>
                <w:rFonts w:ascii="Arial" w:eastAsia="Arial" w:hAnsi="Arial" w:cs="Arial"/>
                <w:sz w:val="20"/>
                <w:szCs w:val="20"/>
              </w:rPr>
            </w:pPr>
          </w:p>
        </w:tc>
      </w:tr>
      <w:tr w:rsidR="00443E3B" w14:paraId="2F3A72E2"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E0"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Návrh a tvorba škice</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E1" w14:textId="77777777" w:rsidR="00443E3B" w:rsidRDefault="00443E3B">
            <w:pPr>
              <w:spacing w:after="0" w:line="240" w:lineRule="auto"/>
              <w:rPr>
                <w:rFonts w:ascii="Arial" w:eastAsia="Arial" w:hAnsi="Arial" w:cs="Arial"/>
                <w:sz w:val="20"/>
                <w:szCs w:val="20"/>
              </w:rPr>
            </w:pPr>
          </w:p>
        </w:tc>
      </w:tr>
      <w:tr w:rsidR="00443E3B" w14:paraId="2F3A72E5"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E3"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Modelovanie jednoduchých rotačných súčiastok</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E4" w14:textId="77777777" w:rsidR="00443E3B" w:rsidRDefault="00443E3B">
            <w:pPr>
              <w:spacing w:after="0" w:line="240" w:lineRule="auto"/>
              <w:rPr>
                <w:rFonts w:ascii="Arial" w:eastAsia="Arial" w:hAnsi="Arial" w:cs="Arial"/>
                <w:sz w:val="20"/>
                <w:szCs w:val="20"/>
              </w:rPr>
            </w:pPr>
          </w:p>
        </w:tc>
      </w:tr>
      <w:tr w:rsidR="00443E3B" w14:paraId="2F3A72E8"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E6"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Modelovanie jednoduchých plochých súčiastok</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E7" w14:textId="77777777" w:rsidR="00443E3B" w:rsidRDefault="00443E3B">
            <w:pPr>
              <w:spacing w:after="0" w:line="240" w:lineRule="auto"/>
              <w:rPr>
                <w:rFonts w:ascii="Arial" w:eastAsia="Arial" w:hAnsi="Arial" w:cs="Arial"/>
                <w:b/>
                <w:sz w:val="20"/>
                <w:szCs w:val="20"/>
              </w:rPr>
            </w:pPr>
          </w:p>
        </w:tc>
      </w:tr>
      <w:tr w:rsidR="00443E3B" w14:paraId="2F3A72EB"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E9"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Výkresová dokumentácia</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EA" w14:textId="77777777" w:rsidR="00443E3B" w:rsidRDefault="00443E3B">
            <w:pPr>
              <w:spacing w:after="0" w:line="240" w:lineRule="auto"/>
              <w:rPr>
                <w:rFonts w:ascii="Arial" w:eastAsia="Arial" w:hAnsi="Arial" w:cs="Arial"/>
                <w:sz w:val="20"/>
                <w:szCs w:val="20"/>
              </w:rPr>
            </w:pPr>
          </w:p>
        </w:tc>
      </w:tr>
      <w:tr w:rsidR="00443E3B" w14:paraId="2F3A72EE"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EC"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3 D tlač,  gravírovanie</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ED" w14:textId="77777777" w:rsidR="00443E3B" w:rsidRDefault="00443E3B">
            <w:pPr>
              <w:spacing w:after="0" w:line="240" w:lineRule="auto"/>
              <w:rPr>
                <w:rFonts w:ascii="Arial" w:eastAsia="Arial" w:hAnsi="Arial" w:cs="Arial"/>
                <w:sz w:val="20"/>
                <w:szCs w:val="20"/>
              </w:rPr>
            </w:pPr>
          </w:p>
        </w:tc>
      </w:tr>
      <w:tr w:rsidR="00443E3B" w14:paraId="2F3A72F1" w14:textId="77777777">
        <w:trPr>
          <w:trHeight w:val="317"/>
        </w:trPr>
        <w:tc>
          <w:tcPr>
            <w:tcW w:w="7225" w:type="dxa"/>
            <w:tcBorders>
              <w:top w:val="single" w:sz="4" w:space="0" w:color="000000"/>
              <w:left w:val="single" w:sz="4" w:space="0" w:color="000000"/>
              <w:bottom w:val="single" w:sz="4" w:space="0" w:color="000000"/>
              <w:right w:val="single" w:sz="4" w:space="0" w:color="000000"/>
            </w:tcBorders>
            <w:shd w:val="clear" w:color="auto" w:fill="D9E2F3"/>
            <w:vAlign w:val="bottom"/>
          </w:tcPr>
          <w:p w14:paraId="2F3A72EF"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4. ročník</w:t>
            </w:r>
          </w:p>
        </w:tc>
        <w:tc>
          <w:tcPr>
            <w:tcW w:w="1842" w:type="dxa"/>
            <w:tcBorders>
              <w:top w:val="single" w:sz="4" w:space="0" w:color="000000"/>
              <w:left w:val="single" w:sz="4" w:space="0" w:color="000000"/>
              <w:bottom w:val="single" w:sz="4" w:space="0" w:color="000000"/>
              <w:right w:val="single" w:sz="4" w:space="0" w:color="000000"/>
            </w:tcBorders>
            <w:shd w:val="clear" w:color="auto" w:fill="D9E2F3"/>
            <w:vAlign w:val="bottom"/>
          </w:tcPr>
          <w:p w14:paraId="2F3A72F0"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90 hodín spolu</w:t>
            </w:r>
          </w:p>
        </w:tc>
      </w:tr>
      <w:tr w:rsidR="00443E3B" w14:paraId="2F3A72F4"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F2"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Podniková logistika - ročníkový projekt</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F3" w14:textId="77777777" w:rsidR="00443E3B" w:rsidRDefault="000D21AE">
            <w:pPr>
              <w:spacing w:after="0" w:line="240" w:lineRule="auto"/>
              <w:rPr>
                <w:rFonts w:ascii="Arial" w:eastAsia="Arial" w:hAnsi="Arial" w:cs="Arial"/>
                <w:b/>
                <w:sz w:val="20"/>
                <w:szCs w:val="20"/>
              </w:rPr>
            </w:pPr>
            <w:r>
              <w:rPr>
                <w:rFonts w:ascii="Arial" w:eastAsia="Arial" w:hAnsi="Arial" w:cs="Arial"/>
                <w:b/>
                <w:sz w:val="20"/>
                <w:szCs w:val="20"/>
              </w:rPr>
              <w:t>90 hodín</w:t>
            </w:r>
          </w:p>
        </w:tc>
      </w:tr>
      <w:tr w:rsidR="00443E3B" w14:paraId="2F3A72F7"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F5"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Založenie vhodnej formy podnikania</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F6" w14:textId="77777777" w:rsidR="00443E3B" w:rsidRDefault="00443E3B">
            <w:pPr>
              <w:spacing w:after="0" w:line="240" w:lineRule="auto"/>
              <w:rPr>
                <w:rFonts w:ascii="Arial" w:eastAsia="Arial" w:hAnsi="Arial" w:cs="Arial"/>
                <w:sz w:val="20"/>
                <w:szCs w:val="20"/>
              </w:rPr>
            </w:pPr>
          </w:p>
        </w:tc>
      </w:tr>
      <w:tr w:rsidR="00443E3B" w14:paraId="2F3A72FA"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F8"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 xml:space="preserve">Aplikácia základných pojmov v oblastiach podnikovej logistiky </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F9" w14:textId="77777777" w:rsidR="00443E3B" w:rsidRDefault="00443E3B">
            <w:pPr>
              <w:spacing w:after="0" w:line="240" w:lineRule="auto"/>
              <w:rPr>
                <w:rFonts w:ascii="Arial" w:eastAsia="Arial" w:hAnsi="Arial" w:cs="Arial"/>
                <w:sz w:val="20"/>
                <w:szCs w:val="20"/>
              </w:rPr>
            </w:pPr>
          </w:p>
        </w:tc>
      </w:tr>
      <w:tr w:rsidR="00443E3B" w14:paraId="2F3A72FD"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FB"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Materiálová bilancia pre realizáciu výroby</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FC" w14:textId="77777777" w:rsidR="00443E3B" w:rsidRDefault="00443E3B">
            <w:pPr>
              <w:spacing w:after="0" w:line="240" w:lineRule="auto"/>
              <w:rPr>
                <w:rFonts w:ascii="Arial" w:eastAsia="Arial" w:hAnsi="Arial" w:cs="Arial"/>
                <w:sz w:val="20"/>
                <w:szCs w:val="20"/>
              </w:rPr>
            </w:pPr>
          </w:p>
        </w:tc>
      </w:tr>
      <w:tr w:rsidR="00443E3B" w14:paraId="2F3A7300"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2FE"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Optimalizácia skladových, výrobných nákladov a zásobovacích podmienok</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2FF" w14:textId="77777777" w:rsidR="00443E3B" w:rsidRDefault="00443E3B">
            <w:pPr>
              <w:spacing w:after="0" w:line="240" w:lineRule="auto"/>
              <w:rPr>
                <w:rFonts w:ascii="Arial" w:eastAsia="Arial" w:hAnsi="Arial" w:cs="Arial"/>
                <w:sz w:val="20"/>
                <w:szCs w:val="20"/>
              </w:rPr>
            </w:pPr>
          </w:p>
        </w:tc>
      </w:tr>
      <w:tr w:rsidR="00443E3B" w14:paraId="2F3A7303"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301"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 xml:space="preserve">Vedenie </w:t>
            </w:r>
            <w:proofErr w:type="spellStart"/>
            <w:r>
              <w:rPr>
                <w:rFonts w:ascii="Arial" w:eastAsia="Arial" w:hAnsi="Arial" w:cs="Arial"/>
                <w:sz w:val="20"/>
                <w:szCs w:val="20"/>
              </w:rPr>
              <w:t>hospodársko</w:t>
            </w:r>
            <w:proofErr w:type="spellEnd"/>
            <w:r>
              <w:rPr>
                <w:rFonts w:ascii="Arial" w:eastAsia="Arial" w:hAnsi="Arial" w:cs="Arial"/>
                <w:sz w:val="20"/>
                <w:szCs w:val="20"/>
              </w:rPr>
              <w:t xml:space="preserve"> - prevádzkovej agendy</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302" w14:textId="77777777" w:rsidR="00443E3B" w:rsidRDefault="00443E3B">
            <w:pPr>
              <w:spacing w:after="0" w:line="240" w:lineRule="auto"/>
              <w:rPr>
                <w:rFonts w:ascii="Arial" w:eastAsia="Arial" w:hAnsi="Arial" w:cs="Arial"/>
                <w:sz w:val="20"/>
                <w:szCs w:val="20"/>
              </w:rPr>
            </w:pPr>
          </w:p>
        </w:tc>
      </w:tr>
      <w:tr w:rsidR="00443E3B" w14:paraId="2F3A7306"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304"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Simulačný model podnikového procesu z hľadiska toku zásob</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305" w14:textId="77777777" w:rsidR="00443E3B" w:rsidRDefault="00443E3B">
            <w:pPr>
              <w:spacing w:after="0" w:line="240" w:lineRule="auto"/>
              <w:rPr>
                <w:rFonts w:ascii="Arial" w:eastAsia="Arial" w:hAnsi="Arial" w:cs="Arial"/>
                <w:sz w:val="20"/>
                <w:szCs w:val="20"/>
              </w:rPr>
            </w:pPr>
          </w:p>
        </w:tc>
      </w:tr>
      <w:tr w:rsidR="00443E3B" w14:paraId="2F3A7309"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307"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lastRenderedPageBreak/>
              <w:t>Analýza získaných veličín</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308" w14:textId="77777777" w:rsidR="00443E3B" w:rsidRDefault="00443E3B">
            <w:pPr>
              <w:spacing w:after="0" w:line="240" w:lineRule="auto"/>
              <w:rPr>
                <w:rFonts w:ascii="Arial" w:eastAsia="Arial" w:hAnsi="Arial" w:cs="Arial"/>
                <w:sz w:val="20"/>
                <w:szCs w:val="20"/>
              </w:rPr>
            </w:pPr>
          </w:p>
        </w:tc>
      </w:tr>
      <w:tr w:rsidR="00443E3B" w14:paraId="2F3A730C"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30A"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Úprava dodávateľsko odberateľských vzťahov</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30B" w14:textId="77777777" w:rsidR="00443E3B" w:rsidRDefault="00443E3B">
            <w:pPr>
              <w:spacing w:after="0" w:line="240" w:lineRule="auto"/>
              <w:rPr>
                <w:rFonts w:ascii="Arial" w:eastAsia="Arial" w:hAnsi="Arial" w:cs="Arial"/>
                <w:sz w:val="20"/>
                <w:szCs w:val="20"/>
              </w:rPr>
            </w:pPr>
          </w:p>
        </w:tc>
      </w:tr>
      <w:tr w:rsidR="00443E3B" w14:paraId="2F3A730F"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30D"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Ekonomická analýza</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30E" w14:textId="77777777" w:rsidR="00443E3B" w:rsidRDefault="00443E3B">
            <w:pPr>
              <w:spacing w:after="0" w:line="240" w:lineRule="auto"/>
              <w:rPr>
                <w:rFonts w:ascii="Arial" w:eastAsia="Arial" w:hAnsi="Arial" w:cs="Arial"/>
                <w:sz w:val="20"/>
                <w:szCs w:val="20"/>
              </w:rPr>
            </w:pPr>
          </w:p>
        </w:tc>
      </w:tr>
      <w:tr w:rsidR="00443E3B" w14:paraId="2F3A7312" w14:textId="77777777">
        <w:trPr>
          <w:trHeight w:val="317"/>
        </w:trPr>
        <w:tc>
          <w:tcPr>
            <w:tcW w:w="7225" w:type="dxa"/>
            <w:tcBorders>
              <w:top w:val="single" w:sz="4" w:space="0" w:color="000000"/>
              <w:left w:val="single" w:sz="4" w:space="0" w:color="000000"/>
              <w:bottom w:val="single" w:sz="4" w:space="0" w:color="000000"/>
              <w:right w:val="single" w:sz="4" w:space="0" w:color="000000"/>
            </w:tcBorders>
            <w:vAlign w:val="bottom"/>
          </w:tcPr>
          <w:p w14:paraId="2F3A7310" w14:textId="77777777" w:rsidR="00443E3B" w:rsidRDefault="000D21AE">
            <w:pPr>
              <w:spacing w:after="0" w:line="240" w:lineRule="auto"/>
              <w:rPr>
                <w:rFonts w:ascii="Arial" w:eastAsia="Arial" w:hAnsi="Arial" w:cs="Arial"/>
                <w:sz w:val="20"/>
                <w:szCs w:val="20"/>
              </w:rPr>
            </w:pPr>
            <w:r>
              <w:rPr>
                <w:rFonts w:ascii="Arial" w:eastAsia="Arial" w:hAnsi="Arial" w:cs="Arial"/>
                <w:sz w:val="20"/>
                <w:szCs w:val="20"/>
              </w:rPr>
              <w:t>Zhodnotenie správnosti nastavenia fungovania logistických tokov</w:t>
            </w:r>
          </w:p>
        </w:tc>
        <w:tc>
          <w:tcPr>
            <w:tcW w:w="1842" w:type="dxa"/>
            <w:tcBorders>
              <w:top w:val="single" w:sz="4" w:space="0" w:color="000000"/>
              <w:left w:val="single" w:sz="4" w:space="0" w:color="000000"/>
              <w:bottom w:val="single" w:sz="4" w:space="0" w:color="000000"/>
              <w:right w:val="single" w:sz="4" w:space="0" w:color="000000"/>
            </w:tcBorders>
            <w:vAlign w:val="bottom"/>
          </w:tcPr>
          <w:p w14:paraId="2F3A7311" w14:textId="77777777" w:rsidR="00443E3B" w:rsidRDefault="00443E3B">
            <w:pPr>
              <w:spacing w:after="0" w:line="240" w:lineRule="auto"/>
              <w:rPr>
                <w:rFonts w:ascii="Arial" w:eastAsia="Arial" w:hAnsi="Arial" w:cs="Arial"/>
                <w:sz w:val="20"/>
                <w:szCs w:val="20"/>
              </w:rPr>
            </w:pPr>
          </w:p>
        </w:tc>
      </w:tr>
    </w:tbl>
    <w:p w14:paraId="2F3A7313" w14:textId="77777777" w:rsidR="00443E3B" w:rsidRDefault="00443E3B">
      <w:pPr>
        <w:spacing w:after="0" w:line="276" w:lineRule="auto"/>
        <w:ind w:firstLine="567"/>
        <w:jc w:val="both"/>
        <w:rPr>
          <w:rFonts w:ascii="Arial" w:eastAsia="Arial" w:hAnsi="Arial" w:cs="Arial"/>
          <w:sz w:val="20"/>
          <w:szCs w:val="20"/>
        </w:rPr>
      </w:pPr>
    </w:p>
    <w:p w14:paraId="2F3A7314" w14:textId="77777777" w:rsidR="00443E3B" w:rsidRDefault="000D21AE">
      <w:pPr>
        <w:spacing w:after="0" w:line="360" w:lineRule="auto"/>
        <w:jc w:val="both"/>
        <w:rPr>
          <w:rFonts w:ascii="Arial" w:eastAsia="Arial" w:hAnsi="Arial" w:cs="Arial"/>
          <w:sz w:val="20"/>
          <w:szCs w:val="20"/>
        </w:rPr>
      </w:pPr>
      <w:r>
        <w:rPr>
          <w:rFonts w:ascii="Arial" w:eastAsia="Arial" w:hAnsi="Arial" w:cs="Arial"/>
          <w:sz w:val="20"/>
          <w:szCs w:val="20"/>
        </w:rPr>
        <w:t>Postupnosť v radení tematických celkov a rozsah vyučovania jednotlivých tém v rámcovom rozpise učiva nepredstavuje chronologické a záväzné členenie, ale len obsahovo a logicky usporiadaný systém učiva.</w:t>
      </w:r>
    </w:p>
    <w:p w14:paraId="2F3A7315" w14:textId="77777777" w:rsidR="00443E3B" w:rsidRDefault="000D21AE">
      <w:pPr>
        <w:spacing w:after="0" w:line="360" w:lineRule="auto"/>
        <w:jc w:val="both"/>
        <w:rPr>
          <w:rFonts w:ascii="Arial" w:eastAsia="Arial" w:hAnsi="Arial" w:cs="Arial"/>
          <w:sz w:val="20"/>
          <w:szCs w:val="20"/>
        </w:rPr>
      </w:pPr>
      <w:r>
        <w:rPr>
          <w:rFonts w:ascii="Arial" w:eastAsia="Arial" w:hAnsi="Arial" w:cs="Arial"/>
          <w:sz w:val="20"/>
          <w:szCs w:val="20"/>
        </w:rPr>
        <w:t>Vyučujúci môže vo vzdelávacom pláne upraviť rozsah vyučovacích hodín určený učebnými osnovami. Vyučujúci vypracuje vzdelávací plán výučby v členení na jednotlivé vyučovacie jednotky.</w:t>
      </w:r>
    </w:p>
    <w:p w14:paraId="2F3A7316" w14:textId="77777777" w:rsidR="00443E3B" w:rsidRDefault="00443E3B">
      <w:pPr>
        <w:spacing w:after="0" w:line="360" w:lineRule="auto"/>
        <w:ind w:firstLine="567"/>
        <w:jc w:val="both"/>
        <w:rPr>
          <w:rFonts w:ascii="Arial" w:eastAsia="Arial" w:hAnsi="Arial" w:cs="Arial"/>
          <w:sz w:val="20"/>
          <w:szCs w:val="20"/>
        </w:rPr>
      </w:pPr>
    </w:p>
    <w:p w14:paraId="2F3A7317" w14:textId="77777777" w:rsidR="00443E3B" w:rsidRDefault="000D21AE">
      <w:pPr>
        <w:pBdr>
          <w:top w:val="nil"/>
          <w:left w:val="nil"/>
          <w:bottom w:val="nil"/>
          <w:right w:val="nil"/>
          <w:between w:val="nil"/>
        </w:pBdr>
        <w:spacing w:after="0" w:line="360" w:lineRule="auto"/>
        <w:jc w:val="both"/>
        <w:rPr>
          <w:rFonts w:ascii="Arial" w:eastAsia="Arial" w:hAnsi="Arial" w:cs="Arial"/>
          <w:color w:val="000000"/>
          <w:sz w:val="20"/>
          <w:szCs w:val="20"/>
        </w:rPr>
      </w:pPr>
      <w:r>
        <w:rPr>
          <w:rFonts w:ascii="Arial" w:eastAsia="Arial" w:hAnsi="Arial" w:cs="Arial"/>
          <w:color w:val="000000"/>
          <w:sz w:val="20"/>
          <w:szCs w:val="20"/>
        </w:rPr>
        <w:t>Vzdelávací plán schvaľuje predmetová komisia a prerokuje pedagogická rada.</w:t>
      </w:r>
    </w:p>
    <w:p w14:paraId="2F3A7318" w14:textId="77777777" w:rsidR="00443E3B" w:rsidRDefault="00443E3B"/>
    <w:tbl>
      <w:tblPr>
        <w:tblStyle w:val="a1"/>
        <w:tblW w:w="9072" w:type="dxa"/>
        <w:tblInd w:w="0" w:type="dxa"/>
        <w:tblLayout w:type="fixed"/>
        <w:tblLook w:val="0400" w:firstRow="0" w:lastRow="0" w:firstColumn="0" w:lastColumn="0" w:noHBand="0" w:noVBand="1"/>
      </w:tblPr>
      <w:tblGrid>
        <w:gridCol w:w="9072"/>
      </w:tblGrid>
      <w:tr w:rsidR="00443E3B" w14:paraId="2F3A731A" w14:textId="77777777">
        <w:trPr>
          <w:trHeight w:val="300"/>
        </w:trPr>
        <w:tc>
          <w:tcPr>
            <w:tcW w:w="9072" w:type="dxa"/>
            <w:tcBorders>
              <w:top w:val="nil"/>
              <w:left w:val="nil"/>
              <w:bottom w:val="nil"/>
              <w:right w:val="nil"/>
            </w:tcBorders>
            <w:vAlign w:val="center"/>
          </w:tcPr>
          <w:p w14:paraId="2F3A7319" w14:textId="77777777" w:rsidR="00443E3B" w:rsidRDefault="00443E3B">
            <w:pPr>
              <w:rPr>
                <w:color w:val="000000"/>
              </w:rPr>
            </w:pPr>
          </w:p>
        </w:tc>
      </w:tr>
    </w:tbl>
    <w:p w14:paraId="2F3A731B" w14:textId="77777777" w:rsidR="00443E3B" w:rsidRDefault="00443E3B">
      <w:pPr>
        <w:pBdr>
          <w:top w:val="nil"/>
          <w:left w:val="nil"/>
          <w:bottom w:val="nil"/>
          <w:right w:val="nil"/>
          <w:between w:val="nil"/>
        </w:pBdr>
        <w:spacing w:after="0" w:line="240" w:lineRule="auto"/>
        <w:jc w:val="both"/>
        <w:rPr>
          <w:b/>
          <w:color w:val="000000"/>
        </w:rPr>
      </w:pPr>
    </w:p>
    <w:sectPr w:rsidR="00443E3B">
      <w:headerReference w:type="default" r:id="rId7"/>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A7322" w14:textId="77777777" w:rsidR="000D21AE" w:rsidRDefault="000D21AE">
      <w:pPr>
        <w:spacing w:after="0" w:line="240" w:lineRule="auto"/>
      </w:pPr>
      <w:r>
        <w:separator/>
      </w:r>
    </w:p>
  </w:endnote>
  <w:endnote w:type="continuationSeparator" w:id="0">
    <w:p w14:paraId="2F3A7324" w14:textId="77777777" w:rsidR="000D21AE" w:rsidRDefault="000D2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A731E" w14:textId="77777777" w:rsidR="000D21AE" w:rsidRDefault="000D21AE">
      <w:pPr>
        <w:spacing w:after="0" w:line="240" w:lineRule="auto"/>
      </w:pPr>
      <w:r>
        <w:separator/>
      </w:r>
    </w:p>
  </w:footnote>
  <w:footnote w:type="continuationSeparator" w:id="0">
    <w:p w14:paraId="2F3A7320" w14:textId="77777777" w:rsidR="000D21AE" w:rsidRDefault="000D21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731C" w14:textId="77777777" w:rsidR="00443E3B" w:rsidRDefault="000D21AE">
    <w:pPr>
      <w:tabs>
        <w:tab w:val="center" w:pos="4536"/>
        <w:tab w:val="right" w:pos="9072"/>
      </w:tabs>
      <w:spacing w:after="0" w:line="240" w:lineRule="auto"/>
      <w:rPr>
        <w:rFonts w:ascii="Times New Roman" w:eastAsia="Times New Roman" w:hAnsi="Times New Roman" w:cs="Times New Roman"/>
        <w:sz w:val="28"/>
        <w:szCs w:val="28"/>
      </w:rPr>
    </w:pPr>
    <w:r>
      <w:rPr>
        <w:rFonts w:ascii="Arial" w:eastAsia="Arial" w:hAnsi="Arial" w:cs="Arial"/>
        <w:noProof/>
        <w:sz w:val="24"/>
        <w:szCs w:val="24"/>
      </w:rPr>
      <w:drawing>
        <wp:inline distT="114300" distB="114300" distL="114300" distR="114300" wp14:anchorId="2F3A731E" wp14:editId="2F3A731F">
          <wp:extent cx="5760410" cy="5969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60410" cy="596900"/>
                  </a:xfrm>
                  <a:prstGeom prst="rect">
                    <a:avLst/>
                  </a:prstGeom>
                  <a:ln/>
                </pic:spPr>
              </pic:pic>
            </a:graphicData>
          </a:graphic>
        </wp:inline>
      </w:drawing>
    </w:r>
  </w:p>
  <w:p w14:paraId="2F3A731D" w14:textId="77777777" w:rsidR="00443E3B" w:rsidRDefault="00443E3B">
    <w:pPr>
      <w:pBdr>
        <w:top w:val="nil"/>
        <w:left w:val="nil"/>
        <w:bottom w:val="nil"/>
        <w:right w:val="nil"/>
        <w:between w:val="nil"/>
      </w:pBdr>
      <w:tabs>
        <w:tab w:val="center" w:pos="4536"/>
        <w:tab w:val="right" w:pos="9072"/>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E3B"/>
    <w:rsid w:val="000D21AE"/>
    <w:rsid w:val="00443E3B"/>
    <w:rsid w:val="009937B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A7275"/>
  <w15:docId w15:val="{013C3FE1-8E53-4EAA-9322-7FA8A5B45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spacing w:before="480" w:after="120"/>
      <w:outlineLvl w:val="0"/>
    </w:pPr>
    <w:rPr>
      <w:b/>
      <w:sz w:val="48"/>
      <w:szCs w:val="48"/>
    </w:rPr>
  </w:style>
  <w:style w:type="paragraph" w:styleId="Nadpis2">
    <w:name w:val="heading 2"/>
    <w:basedOn w:val="Normlny"/>
    <w:next w:val="Normlny"/>
    <w:uiPriority w:val="9"/>
    <w:unhideWhenUsed/>
    <w:qFormat/>
    <w:pPr>
      <w:keepNext/>
      <w:keepLines/>
      <w:spacing w:before="360" w:after="80"/>
      <w:outlineLvl w:val="1"/>
    </w:pPr>
    <w:rPr>
      <w:b/>
      <w:sz w:val="36"/>
      <w:szCs w:val="36"/>
    </w:rPr>
  </w:style>
  <w:style w:type="paragraph" w:styleId="Nadpis3">
    <w:name w:val="heading 3"/>
    <w:basedOn w:val="Normlny"/>
    <w:next w:val="Normlny"/>
    <w:uiPriority w:val="9"/>
    <w:semiHidden/>
    <w:unhideWhenUsed/>
    <w:qFormat/>
    <w:pPr>
      <w:keepNext/>
      <w:keepLines/>
      <w:spacing w:before="280" w:after="80"/>
      <w:outlineLvl w:val="2"/>
    </w:pPr>
    <w:rPr>
      <w:b/>
      <w:sz w:val="28"/>
      <w:szCs w:val="28"/>
    </w:rPr>
  </w:style>
  <w:style w:type="paragraph" w:styleId="Nadpis4">
    <w:name w:val="heading 4"/>
    <w:basedOn w:val="Normlny"/>
    <w:next w:val="Normlny"/>
    <w:uiPriority w:val="9"/>
    <w:semiHidden/>
    <w:unhideWhenUsed/>
    <w:qFormat/>
    <w:pPr>
      <w:keepNext/>
      <w:keepLines/>
      <w:spacing w:before="240" w:after="40"/>
      <w:outlineLvl w:val="3"/>
    </w:pPr>
    <w:rPr>
      <w:b/>
      <w:sz w:val="24"/>
      <w:szCs w:val="24"/>
    </w:rPr>
  </w:style>
  <w:style w:type="paragraph" w:styleId="Nadpis5">
    <w:name w:val="heading 5"/>
    <w:basedOn w:val="Normlny"/>
    <w:next w:val="Normlny"/>
    <w:uiPriority w:val="9"/>
    <w:semiHidden/>
    <w:unhideWhenUsed/>
    <w:qFormat/>
    <w:pPr>
      <w:keepNext/>
      <w:keepLines/>
      <w:spacing w:before="220" w:after="40"/>
      <w:outlineLvl w:val="4"/>
    </w:pPr>
    <w:rPr>
      <w:b/>
    </w:rPr>
  </w:style>
  <w:style w:type="paragraph" w:styleId="Nadpis6">
    <w:name w:val="heading 6"/>
    <w:basedOn w:val="Normlny"/>
    <w:next w:val="Normlny"/>
    <w:uiPriority w:val="9"/>
    <w:semiHidden/>
    <w:unhideWhenUsed/>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Nzov">
    <w:name w:val="Title"/>
    <w:basedOn w:val="Normlny"/>
    <w:link w:val="NzovChar"/>
    <w:uiPriority w:val="10"/>
    <w:qFormat/>
    <w:rsid w:val="00A0607E"/>
    <w:pPr>
      <w:spacing w:after="0" w:line="240" w:lineRule="auto"/>
      <w:jc w:val="center"/>
    </w:pPr>
    <w:rPr>
      <w:rFonts w:ascii="Arial" w:eastAsia="Times New Roman" w:hAnsi="Arial" w:cs="Times New Roman"/>
      <w:b/>
      <w:bCs/>
      <w:sz w:val="36"/>
      <w:szCs w:val="24"/>
      <w:lang w:eastAsia="cs-CZ"/>
    </w:rPr>
  </w:style>
  <w:style w:type="paragraph" w:styleId="Bezriadkovania">
    <w:name w:val="No Spacing"/>
    <w:uiPriority w:val="1"/>
    <w:qFormat/>
    <w:rsid w:val="00AC2B58"/>
    <w:pPr>
      <w:spacing w:after="0" w:line="240" w:lineRule="auto"/>
    </w:pPr>
  </w:style>
  <w:style w:type="character" w:styleId="Odkaznakomentr">
    <w:name w:val="annotation reference"/>
    <w:basedOn w:val="Predvolenpsmoodseku"/>
    <w:uiPriority w:val="99"/>
    <w:semiHidden/>
    <w:unhideWhenUsed/>
    <w:rsid w:val="0030155E"/>
    <w:rPr>
      <w:sz w:val="16"/>
      <w:szCs w:val="16"/>
    </w:rPr>
  </w:style>
  <w:style w:type="paragraph" w:styleId="Textkomentra">
    <w:name w:val="annotation text"/>
    <w:basedOn w:val="Normlny"/>
    <w:link w:val="TextkomentraChar"/>
    <w:uiPriority w:val="99"/>
    <w:unhideWhenUsed/>
    <w:rsid w:val="0030155E"/>
    <w:pPr>
      <w:spacing w:line="240" w:lineRule="auto"/>
    </w:pPr>
    <w:rPr>
      <w:sz w:val="20"/>
      <w:szCs w:val="20"/>
    </w:rPr>
  </w:style>
  <w:style w:type="character" w:customStyle="1" w:styleId="TextkomentraChar">
    <w:name w:val="Text komentára Char"/>
    <w:basedOn w:val="Predvolenpsmoodseku"/>
    <w:link w:val="Textkomentra"/>
    <w:uiPriority w:val="99"/>
    <w:rsid w:val="0030155E"/>
    <w:rPr>
      <w:sz w:val="20"/>
      <w:szCs w:val="20"/>
    </w:rPr>
  </w:style>
  <w:style w:type="paragraph" w:styleId="Predmetkomentra">
    <w:name w:val="annotation subject"/>
    <w:basedOn w:val="Textkomentra"/>
    <w:next w:val="Textkomentra"/>
    <w:link w:val="PredmetkomentraChar"/>
    <w:uiPriority w:val="99"/>
    <w:semiHidden/>
    <w:unhideWhenUsed/>
    <w:rsid w:val="0030155E"/>
    <w:rPr>
      <w:b/>
      <w:bCs/>
    </w:rPr>
  </w:style>
  <w:style w:type="character" w:customStyle="1" w:styleId="PredmetkomentraChar">
    <w:name w:val="Predmet komentára Char"/>
    <w:basedOn w:val="TextkomentraChar"/>
    <w:link w:val="Predmetkomentra"/>
    <w:uiPriority w:val="99"/>
    <w:semiHidden/>
    <w:rsid w:val="0030155E"/>
    <w:rPr>
      <w:b/>
      <w:bCs/>
      <w:sz w:val="20"/>
      <w:szCs w:val="20"/>
    </w:rPr>
  </w:style>
  <w:style w:type="paragraph" w:styleId="Hlavika">
    <w:name w:val="header"/>
    <w:basedOn w:val="Normlny"/>
    <w:link w:val="HlavikaChar"/>
    <w:unhideWhenUsed/>
    <w:rsid w:val="00271FFE"/>
    <w:pPr>
      <w:tabs>
        <w:tab w:val="center" w:pos="4536"/>
        <w:tab w:val="right" w:pos="9072"/>
      </w:tabs>
      <w:spacing w:after="0" w:line="240" w:lineRule="auto"/>
    </w:pPr>
  </w:style>
  <w:style w:type="character" w:customStyle="1" w:styleId="HlavikaChar">
    <w:name w:val="Hlavička Char"/>
    <w:basedOn w:val="Predvolenpsmoodseku"/>
    <w:link w:val="Hlavika"/>
    <w:rsid w:val="00271FFE"/>
  </w:style>
  <w:style w:type="paragraph" w:styleId="Pta">
    <w:name w:val="footer"/>
    <w:basedOn w:val="Normlny"/>
    <w:link w:val="PtaChar"/>
    <w:uiPriority w:val="99"/>
    <w:unhideWhenUsed/>
    <w:rsid w:val="00271FFE"/>
    <w:pPr>
      <w:tabs>
        <w:tab w:val="center" w:pos="4536"/>
        <w:tab w:val="right" w:pos="9072"/>
      </w:tabs>
      <w:spacing w:after="0" w:line="240" w:lineRule="auto"/>
    </w:pPr>
  </w:style>
  <w:style w:type="character" w:customStyle="1" w:styleId="PtaChar">
    <w:name w:val="Päta Char"/>
    <w:basedOn w:val="Predvolenpsmoodseku"/>
    <w:link w:val="Pta"/>
    <w:uiPriority w:val="99"/>
    <w:rsid w:val="00271FFE"/>
  </w:style>
  <w:style w:type="paragraph" w:styleId="Textbubliny">
    <w:name w:val="Balloon Text"/>
    <w:basedOn w:val="Normlny"/>
    <w:link w:val="TextbublinyChar"/>
    <w:uiPriority w:val="99"/>
    <w:semiHidden/>
    <w:unhideWhenUsed/>
    <w:rsid w:val="006B279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6B279F"/>
    <w:rPr>
      <w:rFonts w:ascii="Segoe UI" w:hAnsi="Segoe UI" w:cs="Segoe UI"/>
      <w:sz w:val="18"/>
      <w:szCs w:val="18"/>
    </w:rPr>
  </w:style>
  <w:style w:type="character" w:customStyle="1" w:styleId="NzovChar">
    <w:name w:val="Názov Char"/>
    <w:basedOn w:val="Predvolenpsmoodseku"/>
    <w:link w:val="Nzov"/>
    <w:rsid w:val="00A0607E"/>
    <w:rPr>
      <w:rFonts w:ascii="Arial" w:eastAsia="Times New Roman" w:hAnsi="Arial" w:cs="Times New Roman"/>
      <w:b/>
      <w:bCs/>
      <w:sz w:val="36"/>
      <w:szCs w:val="24"/>
      <w:lang w:eastAsia="cs-CZ"/>
    </w:rPr>
  </w:style>
  <w:style w:type="character" w:customStyle="1" w:styleId="markedcontent">
    <w:name w:val="markedcontent"/>
    <w:basedOn w:val="Predvolenpsmoodseku"/>
    <w:rsid w:val="00B333AA"/>
  </w:style>
  <w:style w:type="paragraph" w:styleId="Podtitul">
    <w:name w:val="Subtitle"/>
    <w:basedOn w:val="Normlny"/>
    <w:next w:val="Norm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p+TTo+gij2Tq1IwtiBpM36ba5A==">CgMxLjAyDmguZW1pZzB2ejJuMXhrOAByITFhQk1pMk5iVlcxYWNDVDRYVjhXa3hYWTV1a0t2YXZXZw==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633</Words>
  <Characters>3613</Characters>
  <Application>Microsoft Office Word</Application>
  <DocSecurity>0</DocSecurity>
  <Lines>30</Lines>
  <Paragraphs>8</Paragraphs>
  <ScaleCrop>false</ScaleCrop>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Ladislav Kováč</dc:creator>
  <cp:lastModifiedBy>Rusinková Hedviga RNDr.</cp:lastModifiedBy>
  <cp:revision>2</cp:revision>
  <dcterms:created xsi:type="dcterms:W3CDTF">2024-09-09T10:27:00Z</dcterms:created>
  <dcterms:modified xsi:type="dcterms:W3CDTF">2025-07-30T07:13:00Z</dcterms:modified>
</cp:coreProperties>
</file>