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835F1" w14:textId="77777777" w:rsidR="00E923E2" w:rsidRDefault="00E923E2"/>
    <w:tbl>
      <w:tblPr>
        <w:tblStyle w:val="a3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E923E2" w14:paraId="206835F4" w14:textId="77777777">
        <w:trPr>
          <w:trHeight w:val="528"/>
        </w:trPr>
        <w:tc>
          <w:tcPr>
            <w:tcW w:w="3539" w:type="dxa"/>
            <w:vAlign w:val="center"/>
          </w:tcPr>
          <w:p w14:paraId="206835F2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206835F3" w14:textId="586058CB" w:rsidR="00E923E2" w:rsidRPr="00626003" w:rsidRDefault="00626003">
            <w:pPr>
              <w:spacing w:after="0" w:line="240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626003">
              <w:rPr>
                <w:rFonts w:ascii="Arial" w:eastAsia="Arial" w:hAnsi="Arial" w:cs="Arial"/>
                <w:bCs/>
                <w:sz w:val="24"/>
                <w:szCs w:val="24"/>
              </w:rPr>
              <w:t>ODBORNÁ PRAX - CVIČENIA Z ÚČTOVNÍCTVA</w:t>
            </w:r>
          </w:p>
        </w:tc>
      </w:tr>
      <w:tr w:rsidR="00E923E2" w14:paraId="206835F7" w14:textId="77777777">
        <w:trPr>
          <w:trHeight w:val="290"/>
        </w:trPr>
        <w:tc>
          <w:tcPr>
            <w:tcW w:w="3539" w:type="dxa"/>
            <w:vAlign w:val="center"/>
          </w:tcPr>
          <w:p w14:paraId="206835F5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206835F6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 + 0 + 66 + 60 = 126 hodín  </w:t>
            </w:r>
          </w:p>
        </w:tc>
      </w:tr>
      <w:tr w:rsidR="00E923E2" w14:paraId="206835FA" w14:textId="77777777">
        <w:trPr>
          <w:trHeight w:val="290"/>
        </w:trPr>
        <w:tc>
          <w:tcPr>
            <w:tcW w:w="3539" w:type="dxa"/>
            <w:vAlign w:val="center"/>
          </w:tcPr>
          <w:p w14:paraId="206835F8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206835F9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E923E2" w14:paraId="206835FD" w14:textId="77777777">
        <w:trPr>
          <w:trHeight w:val="290"/>
        </w:trPr>
        <w:tc>
          <w:tcPr>
            <w:tcW w:w="3539" w:type="dxa"/>
            <w:vAlign w:val="center"/>
          </w:tcPr>
          <w:p w14:paraId="206835FB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  <w:vAlign w:val="center"/>
          </w:tcPr>
          <w:p w14:paraId="206835FC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 Špeciálne technické odbory</w:t>
            </w:r>
          </w:p>
        </w:tc>
      </w:tr>
      <w:tr w:rsidR="00E923E2" w14:paraId="20683600" w14:textId="77777777">
        <w:trPr>
          <w:trHeight w:val="290"/>
        </w:trPr>
        <w:tc>
          <w:tcPr>
            <w:tcW w:w="3539" w:type="dxa"/>
            <w:vAlign w:val="center"/>
          </w:tcPr>
          <w:p w14:paraId="206835FE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206835FF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E923E2" w14:paraId="20683603" w14:textId="77777777">
        <w:trPr>
          <w:trHeight w:val="290"/>
        </w:trPr>
        <w:tc>
          <w:tcPr>
            <w:tcW w:w="3539" w:type="dxa"/>
            <w:vAlign w:val="center"/>
          </w:tcPr>
          <w:p w14:paraId="20683601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20683602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3968 M logistika</w:t>
            </w:r>
          </w:p>
        </w:tc>
      </w:tr>
      <w:tr w:rsidR="00E923E2" w14:paraId="20683606" w14:textId="77777777">
        <w:trPr>
          <w:trHeight w:val="290"/>
        </w:trPr>
        <w:tc>
          <w:tcPr>
            <w:tcW w:w="3539" w:type="dxa"/>
            <w:vAlign w:val="center"/>
          </w:tcPr>
          <w:p w14:paraId="20683604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20683605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E923E2" w14:paraId="20683609" w14:textId="77777777">
        <w:trPr>
          <w:trHeight w:val="290"/>
        </w:trPr>
        <w:tc>
          <w:tcPr>
            <w:tcW w:w="3539" w:type="dxa"/>
            <w:vAlign w:val="center"/>
          </w:tcPr>
          <w:p w14:paraId="20683607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20683608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E923E2" w14:paraId="2068360C" w14:textId="77777777">
        <w:trPr>
          <w:trHeight w:val="290"/>
        </w:trPr>
        <w:tc>
          <w:tcPr>
            <w:tcW w:w="3539" w:type="dxa"/>
            <w:vAlign w:val="center"/>
          </w:tcPr>
          <w:p w14:paraId="2068360A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2068360B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E923E2" w14:paraId="2068360F" w14:textId="77777777">
        <w:trPr>
          <w:trHeight w:val="290"/>
        </w:trPr>
        <w:tc>
          <w:tcPr>
            <w:tcW w:w="3539" w:type="dxa"/>
            <w:vAlign w:val="center"/>
          </w:tcPr>
          <w:p w14:paraId="2068360D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2068360E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E923E2" w14:paraId="20683612" w14:textId="77777777">
        <w:trPr>
          <w:trHeight w:val="290"/>
        </w:trPr>
        <w:tc>
          <w:tcPr>
            <w:tcW w:w="3539" w:type="dxa"/>
            <w:vAlign w:val="center"/>
          </w:tcPr>
          <w:p w14:paraId="20683610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20683611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E923E2" w14:paraId="20683615" w14:textId="77777777">
        <w:trPr>
          <w:trHeight w:val="290"/>
        </w:trPr>
        <w:tc>
          <w:tcPr>
            <w:tcW w:w="3539" w:type="dxa"/>
            <w:vAlign w:val="center"/>
          </w:tcPr>
          <w:p w14:paraId="20683613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20683614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20683616" w14:textId="77777777" w:rsidR="00E923E2" w:rsidRDefault="00E923E2">
      <w:pPr>
        <w:rPr>
          <w:rFonts w:ascii="Arial" w:eastAsia="Arial" w:hAnsi="Arial" w:cs="Arial"/>
          <w:sz w:val="20"/>
          <w:szCs w:val="20"/>
        </w:rPr>
      </w:pPr>
    </w:p>
    <w:p w14:paraId="20683617" w14:textId="77777777" w:rsidR="00E923E2" w:rsidRDefault="00626003" w:rsidP="00626003">
      <w:pPr>
        <w:shd w:val="clear" w:color="auto" w:fill="BFBFBF" w:themeFill="background1" w:themeFillShade="BF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20683618" w14:textId="77777777" w:rsidR="00E923E2" w:rsidRDefault="00E923E2">
      <w:pPr>
        <w:rPr>
          <w:rFonts w:ascii="Arial" w:eastAsia="Arial" w:hAnsi="Arial" w:cs="Arial"/>
          <w:sz w:val="20"/>
          <w:szCs w:val="20"/>
        </w:rPr>
      </w:pPr>
    </w:p>
    <w:p w14:paraId="20683619" w14:textId="77777777" w:rsidR="00E923E2" w:rsidRDefault="00626003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Učivo predmetu odborná prax - cvičenia z účtovníctva poskytuje žiakom aplikovať teoretické vedomosti z predmetu účtovníctvo do praxe, rozvíjať analytické a finančné zručnosti a naučiť sa efektívne riešiť logistické výzvy. Cieľom predmetu odborná prax - cvičenia z účtovníctva je poskytnúť žiakom praktické zručnosti v oblasti kalkulácií a rozpočtovníctva so zameraním na logistiku. Žiaci sa naučia správne pracovať s ekonomickými údajmi, analyzovať náklady a výnosy, zostavovať a analyzovať rozpočty, efektívne h</w:t>
      </w:r>
      <w:r>
        <w:rPr>
          <w:rFonts w:ascii="Arial" w:eastAsia="Arial" w:hAnsi="Arial" w:cs="Arial"/>
          <w:sz w:val="20"/>
          <w:szCs w:val="20"/>
        </w:rPr>
        <w:t xml:space="preserve">ospodáriť s finančnými zdrojmi podniku a stanoviť predajné ceny. Naučia sa viesť účtovnú evidenciu, účtovať bežné hospodárske operácie a nadobudnú praktické zručnosti v práci s účtovným a kalkulačným softvérom. Počas cvičení budú riešiť rôzne typy príkladov súvisiacich s kalkuláciou nákladov, tvorbou cien a finančným plánovaním. Prostredníctvom praktických príkladov sa oboznámia s procesmi rozhodovania v ekonomike podniku a naučia sa aplikovať teoretické poznatky v reálnych situáciách. Predmet odborná prax </w:t>
      </w:r>
      <w:r>
        <w:rPr>
          <w:rFonts w:ascii="Arial" w:eastAsia="Arial" w:hAnsi="Arial" w:cs="Arial"/>
          <w:sz w:val="20"/>
          <w:szCs w:val="20"/>
        </w:rPr>
        <w:t xml:space="preserve">- cvičenia z účtovníctva je praktického charakteru a úzko súvisí s predmetmi ekonomika a účtovníctvo. Trieda je delená na skupiny. Učivo sa prednáša a vysvetľuje v odborných učebniach. V rámci vyučovacieho predmetu sa používajú rôzne vyučovacie stratégie, výkladové, demonštračné metódy, problémové vyučovanie a metódy na rozvoj tvorivých schopností. Žiaci pracujú individuálnou formou, projektové úlohy riešia formou tímovej spolupráce. V motivačnej fáze sa využíva motivačná demonštrácia a motivačný rozhovor, </w:t>
      </w:r>
      <w:r>
        <w:rPr>
          <w:rFonts w:ascii="Arial" w:eastAsia="Arial" w:hAnsi="Arial" w:cs="Arial"/>
          <w:sz w:val="20"/>
          <w:szCs w:val="20"/>
        </w:rPr>
        <w:t xml:space="preserve">vo fáze expozície sa využívajú prevažne problémové a heuristické metódy. Fixácia vedomostí je realizovaná precvičovaním učiva, riešením krátkych problémových úloh. Pre názornosť sa využíva didaktická technika, učebné materiály a softvérové programy pre pochopenie vzájomnej interakcie. Pri ústnom skúšaní využívame formatívne a sumatívne hodnotenie. Pri  písomnom skúšaní využívame sumatívne hodnotenie. </w:t>
      </w:r>
    </w:p>
    <w:p w14:paraId="2068361A" w14:textId="77777777" w:rsidR="00E923E2" w:rsidRDefault="00E923E2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4"/>
        <w:tblW w:w="904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0"/>
        <w:gridCol w:w="1845"/>
      </w:tblGrid>
      <w:tr w:rsidR="00E923E2" w14:paraId="2068361C" w14:textId="77777777">
        <w:trPr>
          <w:trHeight w:val="720"/>
          <w:jc w:val="center"/>
        </w:trPr>
        <w:tc>
          <w:tcPr>
            <w:tcW w:w="9045" w:type="dxa"/>
            <w:gridSpan w:val="2"/>
            <w:vAlign w:val="center"/>
          </w:tcPr>
          <w:p w14:paraId="2068361B" w14:textId="77777777" w:rsidR="00E923E2" w:rsidRDefault="0062600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Rámcový rozpis učiva</w:t>
            </w:r>
          </w:p>
        </w:tc>
      </w:tr>
      <w:tr w:rsidR="00E923E2" w14:paraId="2068361F" w14:textId="77777777">
        <w:trPr>
          <w:trHeight w:val="360"/>
          <w:jc w:val="center"/>
        </w:trPr>
        <w:tc>
          <w:tcPr>
            <w:tcW w:w="7200" w:type="dxa"/>
            <w:shd w:val="clear" w:color="auto" w:fill="D9E2F3"/>
            <w:vAlign w:val="bottom"/>
          </w:tcPr>
          <w:p w14:paraId="2068361D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3. ročník</w:t>
            </w:r>
          </w:p>
        </w:tc>
        <w:tc>
          <w:tcPr>
            <w:tcW w:w="1845" w:type="dxa"/>
            <w:shd w:val="clear" w:color="auto" w:fill="D9E2F3"/>
            <w:vAlign w:val="bottom"/>
          </w:tcPr>
          <w:p w14:paraId="2068361E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 hodín spolu</w:t>
            </w:r>
          </w:p>
        </w:tc>
      </w:tr>
      <w:tr w:rsidR="00E923E2" w14:paraId="20683622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20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Kalkulácie</w:t>
            </w:r>
          </w:p>
        </w:tc>
        <w:tc>
          <w:tcPr>
            <w:tcW w:w="1845" w:type="dxa"/>
            <w:vAlign w:val="bottom"/>
          </w:tcPr>
          <w:p w14:paraId="20683621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28 hodín</w:t>
            </w:r>
          </w:p>
        </w:tc>
      </w:tr>
      <w:tr w:rsidR="00E923E2" w14:paraId="20683625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23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Obsah položiek nákladov v kalkulačnom vzorci</w:t>
            </w:r>
          </w:p>
        </w:tc>
        <w:tc>
          <w:tcPr>
            <w:tcW w:w="1845" w:type="dxa"/>
            <w:vAlign w:val="bottom"/>
          </w:tcPr>
          <w:p w14:paraId="20683624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28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26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Kalkulácia delením</w:t>
            </w:r>
          </w:p>
        </w:tc>
        <w:tc>
          <w:tcPr>
            <w:tcW w:w="1845" w:type="dxa"/>
            <w:vAlign w:val="bottom"/>
          </w:tcPr>
          <w:p w14:paraId="20683627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2B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29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Kalkulácia delením s pomerovými číslami</w:t>
            </w:r>
          </w:p>
        </w:tc>
        <w:tc>
          <w:tcPr>
            <w:tcW w:w="1845" w:type="dxa"/>
            <w:vAlign w:val="bottom"/>
          </w:tcPr>
          <w:p w14:paraId="2068362A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2E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2C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Kalkulácia prirážkovou metódou</w:t>
            </w:r>
          </w:p>
        </w:tc>
        <w:tc>
          <w:tcPr>
            <w:tcW w:w="1845" w:type="dxa"/>
            <w:vAlign w:val="bottom"/>
          </w:tcPr>
          <w:p w14:paraId="2068362D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31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2F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Tvorba cien výrobkov </w:t>
            </w:r>
          </w:p>
        </w:tc>
        <w:tc>
          <w:tcPr>
            <w:tcW w:w="1845" w:type="dxa"/>
            <w:vAlign w:val="bottom"/>
          </w:tcPr>
          <w:p w14:paraId="20683630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34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32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Tvorba cien služieb</w:t>
            </w:r>
          </w:p>
        </w:tc>
        <w:tc>
          <w:tcPr>
            <w:tcW w:w="1845" w:type="dxa"/>
            <w:vAlign w:val="bottom"/>
          </w:tcPr>
          <w:p w14:paraId="20683633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37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35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Zostavovanie cenníkov služieb</w:t>
            </w:r>
          </w:p>
        </w:tc>
        <w:tc>
          <w:tcPr>
            <w:tcW w:w="1845" w:type="dxa"/>
            <w:vAlign w:val="bottom"/>
          </w:tcPr>
          <w:p w14:paraId="20683636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923E2" w14:paraId="2068363A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38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Rozpočtovníctvo</w:t>
            </w:r>
          </w:p>
        </w:tc>
        <w:tc>
          <w:tcPr>
            <w:tcW w:w="1845" w:type="dxa"/>
            <w:vAlign w:val="bottom"/>
          </w:tcPr>
          <w:p w14:paraId="20683639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 hodín</w:t>
            </w:r>
          </w:p>
        </w:tc>
      </w:tr>
      <w:tr w:rsidR="00E923E2" w14:paraId="2068363D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3B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Výpočet vstupného kapitálu</w:t>
            </w:r>
          </w:p>
        </w:tc>
        <w:tc>
          <w:tcPr>
            <w:tcW w:w="1845" w:type="dxa"/>
            <w:vAlign w:val="bottom"/>
          </w:tcPr>
          <w:p w14:paraId="2068363C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40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3E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Zostavovanie rozpočtu nákladov a tržieb</w:t>
            </w:r>
          </w:p>
        </w:tc>
        <w:tc>
          <w:tcPr>
            <w:tcW w:w="1845" w:type="dxa"/>
            <w:vAlign w:val="bottom"/>
          </w:tcPr>
          <w:p w14:paraId="2068363F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43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41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Zostavovanie rozpočtu daňových príjmov a daňových výdavkov</w:t>
            </w:r>
          </w:p>
        </w:tc>
        <w:tc>
          <w:tcPr>
            <w:tcW w:w="1845" w:type="dxa"/>
            <w:vAlign w:val="bottom"/>
          </w:tcPr>
          <w:p w14:paraId="20683642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46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44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Zostavovanie rozpočtu nedaňových príjmov a nedaňových výdavkov</w:t>
            </w:r>
          </w:p>
        </w:tc>
        <w:tc>
          <w:tcPr>
            <w:tcW w:w="1845" w:type="dxa"/>
            <w:vAlign w:val="bottom"/>
          </w:tcPr>
          <w:p w14:paraId="20683645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49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47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Zostavenie plánu čistého zisku</w:t>
            </w:r>
          </w:p>
        </w:tc>
        <w:tc>
          <w:tcPr>
            <w:tcW w:w="1845" w:type="dxa"/>
            <w:vAlign w:val="bottom"/>
          </w:tcPr>
          <w:p w14:paraId="20683648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4C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4A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Ročníkový projekt</w:t>
            </w:r>
          </w:p>
        </w:tc>
        <w:tc>
          <w:tcPr>
            <w:tcW w:w="1845" w:type="dxa"/>
            <w:vAlign w:val="bottom"/>
          </w:tcPr>
          <w:p w14:paraId="2068364B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22 hodín</w:t>
            </w:r>
          </w:p>
        </w:tc>
      </w:tr>
      <w:tr w:rsidR="00E923E2" w14:paraId="2068364F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4D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Zadanie projektu</w:t>
            </w:r>
          </w:p>
        </w:tc>
        <w:tc>
          <w:tcPr>
            <w:tcW w:w="1845" w:type="dxa"/>
            <w:vAlign w:val="bottom"/>
          </w:tcPr>
          <w:p w14:paraId="2068364E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52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50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Analýza projektu</w:t>
            </w:r>
          </w:p>
        </w:tc>
        <w:tc>
          <w:tcPr>
            <w:tcW w:w="1845" w:type="dxa"/>
            <w:vAlign w:val="bottom"/>
          </w:tcPr>
          <w:p w14:paraId="20683651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55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53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Návrh riešenia</w:t>
            </w:r>
          </w:p>
        </w:tc>
        <w:tc>
          <w:tcPr>
            <w:tcW w:w="1845" w:type="dxa"/>
            <w:vAlign w:val="bottom"/>
          </w:tcPr>
          <w:p w14:paraId="20683654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58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56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Kalkulácia a rozpočtovníctvo</w:t>
            </w:r>
          </w:p>
        </w:tc>
        <w:tc>
          <w:tcPr>
            <w:tcW w:w="1845" w:type="dxa"/>
            <w:vAlign w:val="bottom"/>
          </w:tcPr>
          <w:p w14:paraId="20683657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5B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59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Realizačný plán</w:t>
            </w:r>
          </w:p>
        </w:tc>
        <w:tc>
          <w:tcPr>
            <w:tcW w:w="1845" w:type="dxa"/>
            <w:vAlign w:val="bottom"/>
          </w:tcPr>
          <w:p w14:paraId="2068365A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5E" w14:textId="77777777">
        <w:trPr>
          <w:trHeight w:val="317"/>
          <w:jc w:val="center"/>
        </w:trPr>
        <w:tc>
          <w:tcPr>
            <w:tcW w:w="7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8365C" w14:textId="77777777" w:rsidR="00E923E2" w:rsidRDefault="00626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Vyhodnotenie projektu</w:t>
            </w:r>
          </w:p>
        </w:tc>
        <w:tc>
          <w:tcPr>
            <w:tcW w:w="1845" w:type="dxa"/>
            <w:vAlign w:val="bottom"/>
          </w:tcPr>
          <w:p w14:paraId="2068365D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61" w14:textId="77777777">
        <w:trPr>
          <w:trHeight w:val="317"/>
          <w:jc w:val="center"/>
        </w:trPr>
        <w:tc>
          <w:tcPr>
            <w:tcW w:w="7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8365F" w14:textId="77777777" w:rsidR="00E923E2" w:rsidRDefault="00626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Prezentácia a obhajoba projektu</w:t>
            </w:r>
          </w:p>
        </w:tc>
        <w:tc>
          <w:tcPr>
            <w:tcW w:w="1845" w:type="dxa"/>
            <w:vAlign w:val="bottom"/>
          </w:tcPr>
          <w:p w14:paraId="20683660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64" w14:textId="77777777">
        <w:trPr>
          <w:trHeight w:val="317"/>
          <w:jc w:val="center"/>
        </w:trPr>
        <w:tc>
          <w:tcPr>
            <w:tcW w:w="7200" w:type="dxa"/>
            <w:shd w:val="clear" w:color="auto" w:fill="D9E2F3"/>
            <w:vAlign w:val="bottom"/>
          </w:tcPr>
          <w:p w14:paraId="20683662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4. ročník</w:t>
            </w:r>
          </w:p>
        </w:tc>
        <w:tc>
          <w:tcPr>
            <w:tcW w:w="1845" w:type="dxa"/>
            <w:shd w:val="clear" w:color="auto" w:fill="D9E2F3"/>
            <w:vAlign w:val="bottom"/>
          </w:tcPr>
          <w:p w14:paraId="20683663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60 hodín spolu</w:t>
            </w:r>
          </w:p>
        </w:tc>
      </w:tr>
      <w:tr w:rsidR="00E923E2" w14:paraId="20683667" w14:textId="77777777">
        <w:trPr>
          <w:trHeight w:val="317"/>
          <w:jc w:val="center"/>
        </w:trPr>
        <w:tc>
          <w:tcPr>
            <w:tcW w:w="7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83665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Jednoduché účtovníctvo </w:t>
            </w:r>
          </w:p>
        </w:tc>
        <w:tc>
          <w:tcPr>
            <w:tcW w:w="1845" w:type="dxa"/>
            <w:vAlign w:val="bottom"/>
          </w:tcPr>
          <w:p w14:paraId="20683666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 hodín</w:t>
            </w:r>
          </w:p>
        </w:tc>
      </w:tr>
      <w:tr w:rsidR="00E923E2" w14:paraId="2068366A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68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Zásady vedenia jednoduchého účtovníctva</w:t>
            </w:r>
          </w:p>
        </w:tc>
        <w:tc>
          <w:tcPr>
            <w:tcW w:w="1845" w:type="dxa"/>
            <w:vAlign w:val="bottom"/>
          </w:tcPr>
          <w:p w14:paraId="20683669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6D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6B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Rozdiel medzi jednoduchým a podvojným účtovníctvom </w:t>
            </w:r>
          </w:p>
        </w:tc>
        <w:tc>
          <w:tcPr>
            <w:tcW w:w="1845" w:type="dxa"/>
            <w:vAlign w:val="bottom"/>
          </w:tcPr>
          <w:p w14:paraId="2068366C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70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6E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Hlavná účtovná kniha – peňažný denník</w:t>
            </w:r>
          </w:p>
        </w:tc>
        <w:tc>
          <w:tcPr>
            <w:tcW w:w="1845" w:type="dxa"/>
            <w:vAlign w:val="bottom"/>
          </w:tcPr>
          <w:p w14:paraId="2068366F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73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71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Analýza daňových a nedaňových príjmov</w:t>
            </w:r>
          </w:p>
        </w:tc>
        <w:tc>
          <w:tcPr>
            <w:tcW w:w="1845" w:type="dxa"/>
            <w:vAlign w:val="bottom"/>
          </w:tcPr>
          <w:p w14:paraId="20683672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76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74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Výpočet rovnomerných a zrýchlených odpisov</w:t>
            </w:r>
          </w:p>
        </w:tc>
        <w:tc>
          <w:tcPr>
            <w:tcW w:w="1845" w:type="dxa"/>
            <w:vAlign w:val="bottom"/>
          </w:tcPr>
          <w:p w14:paraId="20683675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79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77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Výpočet odvodov do zdravotnej a sociálnej poisťovne </w:t>
            </w:r>
          </w:p>
        </w:tc>
        <w:tc>
          <w:tcPr>
            <w:tcW w:w="1845" w:type="dxa"/>
            <w:vAlign w:val="bottom"/>
          </w:tcPr>
          <w:p w14:paraId="20683678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7C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7A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Výpočet čistej mzdy</w:t>
            </w:r>
          </w:p>
        </w:tc>
        <w:tc>
          <w:tcPr>
            <w:tcW w:w="1845" w:type="dxa"/>
            <w:vAlign w:val="bottom"/>
          </w:tcPr>
          <w:p w14:paraId="2068367B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7F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7D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Účtovanie priebežných položiek v peňažnom denníku</w:t>
            </w:r>
          </w:p>
        </w:tc>
        <w:tc>
          <w:tcPr>
            <w:tcW w:w="1845" w:type="dxa"/>
            <w:vAlign w:val="bottom"/>
          </w:tcPr>
          <w:p w14:paraId="2068367E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82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80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Výpočet odpisov dlhodobého majetku</w:t>
            </w:r>
          </w:p>
        </w:tc>
        <w:tc>
          <w:tcPr>
            <w:tcW w:w="1845" w:type="dxa"/>
            <w:vAlign w:val="bottom"/>
          </w:tcPr>
          <w:p w14:paraId="20683681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85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83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Účtovné knihy </w:t>
            </w:r>
          </w:p>
        </w:tc>
        <w:tc>
          <w:tcPr>
            <w:tcW w:w="1845" w:type="dxa"/>
            <w:vAlign w:val="bottom"/>
          </w:tcPr>
          <w:p w14:paraId="20683684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9 hodín</w:t>
            </w:r>
          </w:p>
        </w:tc>
      </w:tr>
      <w:tr w:rsidR="00E923E2" w14:paraId="20683688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86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Vedenie účtovných kníh v sústave jednoduchého účtovníctva</w:t>
            </w:r>
          </w:p>
        </w:tc>
        <w:tc>
          <w:tcPr>
            <w:tcW w:w="1845" w:type="dxa"/>
            <w:vAlign w:val="bottom"/>
          </w:tcPr>
          <w:p w14:paraId="20683687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8B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89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Analýza knihy došlých a odoslaných faktúr</w:t>
            </w:r>
          </w:p>
        </w:tc>
        <w:tc>
          <w:tcPr>
            <w:tcW w:w="1845" w:type="dxa"/>
            <w:vAlign w:val="bottom"/>
          </w:tcPr>
          <w:p w14:paraId="2068368A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8E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8C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Analýza pokladničnej knihy</w:t>
            </w:r>
          </w:p>
        </w:tc>
        <w:tc>
          <w:tcPr>
            <w:tcW w:w="1845" w:type="dxa"/>
            <w:vAlign w:val="bottom"/>
          </w:tcPr>
          <w:p w14:paraId="2068368D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91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8F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Analýza knihy sociálneho fondu</w:t>
            </w:r>
          </w:p>
        </w:tc>
        <w:tc>
          <w:tcPr>
            <w:tcW w:w="1845" w:type="dxa"/>
            <w:vAlign w:val="bottom"/>
          </w:tcPr>
          <w:p w14:paraId="20683690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94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92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Analýza  knihy cenín</w:t>
            </w:r>
          </w:p>
        </w:tc>
        <w:tc>
          <w:tcPr>
            <w:tcW w:w="1845" w:type="dxa"/>
            <w:vAlign w:val="bottom"/>
          </w:tcPr>
          <w:p w14:paraId="20683693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97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95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Analýza  knihy dlhodobého majetku</w:t>
            </w:r>
          </w:p>
        </w:tc>
        <w:tc>
          <w:tcPr>
            <w:tcW w:w="1845" w:type="dxa"/>
            <w:vAlign w:val="bottom"/>
          </w:tcPr>
          <w:p w14:paraId="20683696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9A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98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Analýza knihy DPH na vstupe a DPH na výstupe</w:t>
            </w:r>
          </w:p>
        </w:tc>
        <w:tc>
          <w:tcPr>
            <w:tcW w:w="1845" w:type="dxa"/>
            <w:vAlign w:val="bottom"/>
          </w:tcPr>
          <w:p w14:paraId="20683699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9D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9B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Analýza knihy zásob</w:t>
            </w:r>
          </w:p>
        </w:tc>
        <w:tc>
          <w:tcPr>
            <w:tcW w:w="1845" w:type="dxa"/>
            <w:vAlign w:val="bottom"/>
          </w:tcPr>
          <w:p w14:paraId="2068369C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A0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9E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Analýza mzdovej evidencie</w:t>
            </w:r>
          </w:p>
        </w:tc>
        <w:tc>
          <w:tcPr>
            <w:tcW w:w="1845" w:type="dxa"/>
            <w:vAlign w:val="bottom"/>
          </w:tcPr>
          <w:p w14:paraId="2068369F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A3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A1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Účtovná uzávierka a účtovná závierka</w:t>
            </w:r>
          </w:p>
        </w:tc>
        <w:tc>
          <w:tcPr>
            <w:tcW w:w="1845" w:type="dxa"/>
            <w:vAlign w:val="bottom"/>
          </w:tcPr>
          <w:p w14:paraId="206836A2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 hodiny</w:t>
            </w:r>
          </w:p>
        </w:tc>
      </w:tr>
      <w:tr w:rsidR="00E923E2" w14:paraId="206836A6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A4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Rozdiel medzi účtovnou uzávierkou a účtovnou závierkou</w:t>
            </w:r>
          </w:p>
        </w:tc>
        <w:tc>
          <w:tcPr>
            <w:tcW w:w="1845" w:type="dxa"/>
            <w:vAlign w:val="bottom"/>
          </w:tcPr>
          <w:p w14:paraId="206836A5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A9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A7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Vypisovanie výkazov v jednoduchom účtovníctve</w:t>
            </w:r>
          </w:p>
        </w:tc>
        <w:tc>
          <w:tcPr>
            <w:tcW w:w="1845" w:type="dxa"/>
            <w:vAlign w:val="bottom"/>
          </w:tcPr>
          <w:p w14:paraId="206836A8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AC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AA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Archivácia a ochrana účtovnej dokumentácie</w:t>
            </w:r>
          </w:p>
        </w:tc>
        <w:tc>
          <w:tcPr>
            <w:tcW w:w="1845" w:type="dxa"/>
            <w:vAlign w:val="bottom"/>
          </w:tcPr>
          <w:p w14:paraId="206836AB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AF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AD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Účtovanie v peňažnom denníku</w:t>
            </w:r>
          </w:p>
        </w:tc>
        <w:tc>
          <w:tcPr>
            <w:tcW w:w="1845" w:type="dxa"/>
            <w:vAlign w:val="bottom"/>
          </w:tcPr>
          <w:p w14:paraId="206836AE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17 hodín</w:t>
            </w:r>
          </w:p>
        </w:tc>
      </w:tr>
      <w:tr w:rsidR="00E923E2" w14:paraId="206836B2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B0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Účtovanie na základe príjmových a výdavkových pokladničných dokladov</w:t>
            </w:r>
          </w:p>
        </w:tc>
        <w:tc>
          <w:tcPr>
            <w:tcW w:w="1845" w:type="dxa"/>
            <w:vAlign w:val="bottom"/>
          </w:tcPr>
          <w:p w14:paraId="206836B1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B5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B3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Účtovanie na základe bankových výpisov</w:t>
            </w:r>
          </w:p>
        </w:tc>
        <w:tc>
          <w:tcPr>
            <w:tcW w:w="1845" w:type="dxa"/>
            <w:vAlign w:val="bottom"/>
          </w:tcPr>
          <w:p w14:paraId="206836B4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B8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B6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Účtovanie na základe interných dokladov</w:t>
            </w:r>
          </w:p>
        </w:tc>
        <w:tc>
          <w:tcPr>
            <w:tcW w:w="1845" w:type="dxa"/>
            <w:vAlign w:val="bottom"/>
          </w:tcPr>
          <w:p w14:paraId="206836B7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BB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B9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Účtovanie priebežné položky</w:t>
            </w:r>
          </w:p>
        </w:tc>
        <w:tc>
          <w:tcPr>
            <w:tcW w:w="1845" w:type="dxa"/>
            <w:vAlign w:val="bottom"/>
          </w:tcPr>
          <w:p w14:paraId="206836BA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BE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BC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Účtovanie príjmy zahrňované a nezahrňované do základu dane</w:t>
            </w:r>
          </w:p>
        </w:tc>
        <w:tc>
          <w:tcPr>
            <w:tcW w:w="1845" w:type="dxa"/>
            <w:vAlign w:val="bottom"/>
          </w:tcPr>
          <w:p w14:paraId="206836BD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C1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BF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Účtovanie výdavky zahrňované a nezahrňované do základu dane</w:t>
            </w:r>
          </w:p>
        </w:tc>
        <w:tc>
          <w:tcPr>
            <w:tcW w:w="1845" w:type="dxa"/>
            <w:vAlign w:val="bottom"/>
          </w:tcPr>
          <w:p w14:paraId="206836C0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C4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C2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Účtovná uzávierka peňažného denníka</w:t>
            </w:r>
          </w:p>
        </w:tc>
        <w:tc>
          <w:tcPr>
            <w:tcW w:w="1845" w:type="dxa"/>
            <w:vAlign w:val="bottom"/>
          </w:tcPr>
          <w:p w14:paraId="206836C3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C7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C5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Výpočet dane z príjmov FO</w:t>
            </w:r>
          </w:p>
        </w:tc>
        <w:tc>
          <w:tcPr>
            <w:tcW w:w="1845" w:type="dxa"/>
            <w:vAlign w:val="bottom"/>
          </w:tcPr>
          <w:p w14:paraId="206836C6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CA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C8" w14:textId="77777777" w:rsidR="00E923E2" w:rsidRDefault="0062600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Komplexné príklady</w:t>
            </w:r>
          </w:p>
        </w:tc>
        <w:tc>
          <w:tcPr>
            <w:tcW w:w="1845" w:type="dxa"/>
            <w:vAlign w:val="bottom"/>
          </w:tcPr>
          <w:p w14:paraId="206836C9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CD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CB" w14:textId="77777777" w:rsidR="00E923E2" w:rsidRDefault="0062600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Účtovný program ALFA</w:t>
            </w:r>
          </w:p>
        </w:tc>
        <w:tc>
          <w:tcPr>
            <w:tcW w:w="1845" w:type="dxa"/>
            <w:vAlign w:val="bottom"/>
          </w:tcPr>
          <w:p w14:paraId="206836CC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 hodín</w:t>
            </w:r>
          </w:p>
        </w:tc>
      </w:tr>
      <w:tr w:rsidR="00E923E2" w14:paraId="206836D0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CE" w14:textId="77777777" w:rsidR="00E923E2" w:rsidRDefault="0062600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Výkazy, účtovné doklady, evidencia </w:t>
            </w:r>
          </w:p>
        </w:tc>
        <w:tc>
          <w:tcPr>
            <w:tcW w:w="1845" w:type="dxa"/>
            <w:vAlign w:val="bottom"/>
          </w:tcPr>
          <w:p w14:paraId="206836CF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D3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D1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Archivovanie účtovníctva</w:t>
            </w:r>
          </w:p>
        </w:tc>
        <w:tc>
          <w:tcPr>
            <w:tcW w:w="1845" w:type="dxa"/>
            <w:vAlign w:val="bottom"/>
          </w:tcPr>
          <w:p w14:paraId="206836D2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923E2" w14:paraId="206836D6" w14:textId="77777777">
        <w:trPr>
          <w:trHeight w:val="317"/>
          <w:jc w:val="center"/>
        </w:trPr>
        <w:tc>
          <w:tcPr>
            <w:tcW w:w="7200" w:type="dxa"/>
            <w:vAlign w:val="bottom"/>
          </w:tcPr>
          <w:p w14:paraId="206836D4" w14:textId="77777777" w:rsidR="00E923E2" w:rsidRDefault="0062600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Aplikačné úlohy</w:t>
            </w:r>
          </w:p>
        </w:tc>
        <w:tc>
          <w:tcPr>
            <w:tcW w:w="1845" w:type="dxa"/>
            <w:vAlign w:val="bottom"/>
          </w:tcPr>
          <w:p w14:paraId="206836D5" w14:textId="77777777" w:rsidR="00E923E2" w:rsidRDefault="00E923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206836D7" w14:textId="77777777" w:rsidR="00E923E2" w:rsidRDefault="00E923E2">
      <w:pPr>
        <w:spacing w:after="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206836D8" w14:textId="77777777" w:rsidR="00E923E2" w:rsidRDefault="00E923E2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206836D9" w14:textId="77777777" w:rsidR="00E923E2" w:rsidRDefault="00626003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206836DA" w14:textId="77777777" w:rsidR="00E923E2" w:rsidRDefault="00626003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Vyučujúci môže vo vzdelávacom pláne upraviť rozsah vyučovacích hodín určený učebnými osnovami. Vyučujúci vypracuje vzdelávací plán výučby v členení na jednotlivé vyučovacie jednotky. </w:t>
      </w:r>
    </w:p>
    <w:p w14:paraId="206836DB" w14:textId="77777777" w:rsidR="00E923E2" w:rsidRDefault="00E923E2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206836DC" w14:textId="77777777" w:rsidR="00E923E2" w:rsidRDefault="00626003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Vzdelávací plán schvaľuje predmetová komisia a prerokuje pedagogická rada.</w:t>
      </w:r>
    </w:p>
    <w:p w14:paraId="206836DD" w14:textId="77777777" w:rsidR="00E923E2" w:rsidRDefault="00E923E2">
      <w:pPr>
        <w:spacing w:after="0" w:line="276" w:lineRule="auto"/>
        <w:jc w:val="both"/>
        <w:rPr>
          <w:rFonts w:ascii="Arial" w:eastAsia="Arial" w:hAnsi="Arial" w:cs="Arial"/>
          <w:sz w:val="20"/>
          <w:szCs w:val="20"/>
        </w:rPr>
      </w:pPr>
    </w:p>
    <w:sectPr w:rsidR="00E923E2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836E4" w14:textId="77777777" w:rsidR="00626003" w:rsidRDefault="00626003">
      <w:pPr>
        <w:spacing w:after="0" w:line="240" w:lineRule="auto"/>
      </w:pPr>
      <w:r>
        <w:separator/>
      </w:r>
    </w:p>
  </w:endnote>
  <w:endnote w:type="continuationSeparator" w:id="0">
    <w:p w14:paraId="206836E6" w14:textId="77777777" w:rsidR="00626003" w:rsidRDefault="00626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Bodoni MT">
    <w:panose1 w:val="02070603080606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836E0" w14:textId="77777777" w:rsidR="00626003" w:rsidRDefault="00626003">
      <w:pPr>
        <w:spacing w:after="0" w:line="240" w:lineRule="auto"/>
      </w:pPr>
      <w:r>
        <w:separator/>
      </w:r>
    </w:p>
  </w:footnote>
  <w:footnote w:type="continuationSeparator" w:id="0">
    <w:p w14:paraId="206836E2" w14:textId="77777777" w:rsidR="00626003" w:rsidRDefault="0062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836DE" w14:textId="77777777" w:rsidR="00E923E2" w:rsidRDefault="00626003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206836E0" wp14:editId="206836E1">
          <wp:extent cx="5760410" cy="5969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06836DF" w14:textId="77777777" w:rsidR="00E923E2" w:rsidRDefault="00E923E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E2"/>
    <w:rsid w:val="00626003"/>
    <w:rsid w:val="008170B0"/>
    <w:rsid w:val="00E9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835F0"/>
  <w15:docId w15:val="{7BAF9117-1D5B-4882-9B32-A3BEE3561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7E5A96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sz w:val="36"/>
      <w:szCs w:val="24"/>
      <w:lang w:eastAsia="cs-CZ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55E0"/>
    <w:pPr>
      <w:autoSpaceDE w:val="0"/>
      <w:autoSpaceDN w:val="0"/>
      <w:adjustRightInd w:val="0"/>
      <w:spacing w:after="0" w:line="240" w:lineRule="auto"/>
    </w:pPr>
    <w:rPr>
      <w:rFonts w:ascii="Bodoni MT" w:hAnsi="Bodoni MT" w:cs="Bodoni MT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D70D1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customStyle="1" w:styleId="HeaderandFooter">
    <w:name w:val="Header and Footer"/>
    <w:basedOn w:val="Normlny"/>
    <w:rsid w:val="007E5A96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iCs/>
      <w:sz w:val="24"/>
      <w:szCs w:val="24"/>
      <w:lang w:eastAsia="cs-CZ"/>
    </w:rPr>
  </w:style>
  <w:style w:type="character" w:customStyle="1" w:styleId="NzovChar">
    <w:name w:val="Názov Char"/>
    <w:basedOn w:val="Predvolenpsmoodseku"/>
    <w:link w:val="Nzov"/>
    <w:rsid w:val="007E5A96"/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YS6PeNShIDuVH2QXqVuaaLJnVQ==">CgMxLjAyDmguYjN2NmFqbTRmenZvOAByITF1QnBfY1d6VmZUNVNUYUtnZDdtZ2swam02QTRUSDZ4Tg==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4451</Characters>
  <Application>Microsoft Office Word</Application>
  <DocSecurity>0</DocSecurity>
  <Lines>37</Lines>
  <Paragraphs>10</Paragraphs>
  <ScaleCrop>false</ScaleCrop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2</cp:revision>
  <dcterms:created xsi:type="dcterms:W3CDTF">2024-08-15T08:46:00Z</dcterms:created>
  <dcterms:modified xsi:type="dcterms:W3CDTF">2025-07-30T07:12:00Z</dcterms:modified>
</cp:coreProperties>
</file>