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EB089" w14:textId="77777777" w:rsidR="00E61B0B" w:rsidRDefault="00E61B0B"/>
    <w:tbl>
      <w:tblPr>
        <w:tblStyle w:val="a1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E61B0B" w14:paraId="249EB08C" w14:textId="77777777">
        <w:trPr>
          <w:trHeight w:val="528"/>
        </w:trPr>
        <w:tc>
          <w:tcPr>
            <w:tcW w:w="3539" w:type="dxa"/>
            <w:vAlign w:val="center"/>
          </w:tcPr>
          <w:p w14:paraId="249EB08A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249EB08B" w14:textId="2D7D829E" w:rsidR="00E61B0B" w:rsidRPr="00105845" w:rsidRDefault="00105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105845">
              <w:rPr>
                <w:rFonts w:ascii="Arial" w:eastAsia="Arial" w:hAnsi="Arial" w:cs="Arial"/>
                <w:bCs/>
                <w:sz w:val="24"/>
                <w:szCs w:val="24"/>
              </w:rPr>
              <w:t>ODBORNÁ PRAX - MZDY</w:t>
            </w:r>
          </w:p>
        </w:tc>
      </w:tr>
      <w:tr w:rsidR="00E61B0B" w14:paraId="249EB08F" w14:textId="77777777">
        <w:tc>
          <w:tcPr>
            <w:tcW w:w="3539" w:type="dxa"/>
            <w:vAlign w:val="center"/>
          </w:tcPr>
          <w:p w14:paraId="249EB08D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249EB08E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0 + 0 + 66 + 0 = 66 hodín  </w:t>
            </w:r>
          </w:p>
        </w:tc>
      </w:tr>
      <w:tr w:rsidR="00E61B0B" w14:paraId="249EB092" w14:textId="77777777">
        <w:trPr>
          <w:trHeight w:val="290"/>
        </w:trPr>
        <w:tc>
          <w:tcPr>
            <w:tcW w:w="3539" w:type="dxa"/>
            <w:vAlign w:val="center"/>
          </w:tcPr>
          <w:p w14:paraId="249EB090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49EB091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E61B0B" w14:paraId="249EB095" w14:textId="77777777">
        <w:trPr>
          <w:trHeight w:val="290"/>
        </w:trPr>
        <w:tc>
          <w:tcPr>
            <w:tcW w:w="3539" w:type="dxa"/>
            <w:vAlign w:val="center"/>
          </w:tcPr>
          <w:p w14:paraId="249EB093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249EB094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E61B0B" w14:paraId="249EB098" w14:textId="77777777">
        <w:trPr>
          <w:trHeight w:val="290"/>
        </w:trPr>
        <w:tc>
          <w:tcPr>
            <w:tcW w:w="3539" w:type="dxa"/>
            <w:vAlign w:val="center"/>
          </w:tcPr>
          <w:p w14:paraId="249EB096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249EB097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E61B0B" w14:paraId="249EB09B" w14:textId="77777777">
        <w:trPr>
          <w:trHeight w:val="290"/>
        </w:trPr>
        <w:tc>
          <w:tcPr>
            <w:tcW w:w="3539" w:type="dxa"/>
            <w:vAlign w:val="center"/>
          </w:tcPr>
          <w:p w14:paraId="249EB09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249EB09A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E61B0B" w14:paraId="249EB09E" w14:textId="77777777">
        <w:trPr>
          <w:trHeight w:val="290"/>
        </w:trPr>
        <w:tc>
          <w:tcPr>
            <w:tcW w:w="3539" w:type="dxa"/>
            <w:vAlign w:val="center"/>
          </w:tcPr>
          <w:p w14:paraId="249EB09C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249EB09D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E61B0B" w14:paraId="249EB0A1" w14:textId="77777777">
        <w:trPr>
          <w:trHeight w:val="290"/>
        </w:trPr>
        <w:tc>
          <w:tcPr>
            <w:tcW w:w="3539" w:type="dxa"/>
            <w:vAlign w:val="center"/>
          </w:tcPr>
          <w:p w14:paraId="249EB09F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249EB0A0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E61B0B" w14:paraId="249EB0A4" w14:textId="77777777">
        <w:trPr>
          <w:trHeight w:val="290"/>
        </w:trPr>
        <w:tc>
          <w:tcPr>
            <w:tcW w:w="3539" w:type="dxa"/>
            <w:vAlign w:val="center"/>
          </w:tcPr>
          <w:p w14:paraId="249EB0A2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249EB0A3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E61B0B" w14:paraId="249EB0A7" w14:textId="77777777">
        <w:trPr>
          <w:trHeight w:val="290"/>
        </w:trPr>
        <w:tc>
          <w:tcPr>
            <w:tcW w:w="3539" w:type="dxa"/>
            <w:vAlign w:val="center"/>
          </w:tcPr>
          <w:p w14:paraId="249EB0A5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249EB0A6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E61B0B" w14:paraId="249EB0AA" w14:textId="77777777">
        <w:trPr>
          <w:trHeight w:val="290"/>
        </w:trPr>
        <w:tc>
          <w:tcPr>
            <w:tcW w:w="3539" w:type="dxa"/>
            <w:vAlign w:val="center"/>
          </w:tcPr>
          <w:p w14:paraId="249EB0A8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249EB0A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E61B0B" w14:paraId="249EB0AD" w14:textId="77777777">
        <w:trPr>
          <w:trHeight w:val="290"/>
        </w:trPr>
        <w:tc>
          <w:tcPr>
            <w:tcW w:w="3539" w:type="dxa"/>
            <w:vAlign w:val="center"/>
          </w:tcPr>
          <w:p w14:paraId="249EB0AB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249EB0AC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249EB0AE" w14:textId="77777777" w:rsidR="00E61B0B" w:rsidRDefault="00E61B0B">
      <w:pPr>
        <w:rPr>
          <w:b/>
        </w:rPr>
      </w:pPr>
    </w:p>
    <w:p w14:paraId="249EB0AF" w14:textId="77777777" w:rsidR="00E61B0B" w:rsidRDefault="00105845" w:rsidP="00105845">
      <w:pPr>
        <w:shd w:val="clear" w:color="auto" w:fill="BFBFBF" w:themeFill="background1" w:themeFillShade="BF"/>
        <w:spacing w:after="0"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249EB0B0" w14:textId="77777777" w:rsidR="00E61B0B" w:rsidRDefault="00E61B0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49EB0B4" w14:textId="631D632B" w:rsidR="00E61B0B" w:rsidRDefault="00105845" w:rsidP="00105845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predmetu odborná prax - mzdy umožňuje žiakom prepojiť teoretické vedomosti s  odbornou praxou, rozvíjať analytické a finančné zručnosti. Cieľom predmetu odborná prax – mzdy je poskytnúť žiakom praktické zručnosti a vedomosti z oblasti spracovania mzdovej agendy v súlade s platnou legislatívou. Žiaci sa naučia samostatne a zodpovedne vykonávať výpočty miezd, odvádzanie daní a odvodov, viesť mzdovú dokumentáciu a orientovať sa v právnych predpisoch vrátane zákonníka práce, zákona o dani z príjmov, zákon</w:t>
      </w:r>
      <w:r>
        <w:rPr>
          <w:rFonts w:ascii="Arial" w:eastAsia="Arial" w:hAnsi="Arial" w:cs="Arial"/>
          <w:sz w:val="20"/>
          <w:szCs w:val="20"/>
        </w:rPr>
        <w:t>a o sociálnom poistení, zákona o zdravotnom poistení a zákona o sociálnom fonde. Osvoja si prácu so mzdovým softvérom. Obsah predmetu úzko nadväzuje na vedomosti získané na hodinách ekonomiky, administratívy a korešpondencie a predmetu účtovníctva. Predmet je praktického charakteru, s delením na skupiny. V rámci vyučovacieho predmetu sa používajú rôzne vyučovacie stratégie, výkladové, demonštračné metódy, problémové vyučovanie a metódy na rozvoj tvorivých schopností. Žiaci pracujú individuálnou formou, proj</w:t>
      </w:r>
      <w:r>
        <w:rPr>
          <w:rFonts w:ascii="Arial" w:eastAsia="Arial" w:hAnsi="Arial" w:cs="Arial"/>
          <w:sz w:val="20"/>
          <w:szCs w:val="20"/>
        </w:rPr>
        <w:t xml:space="preserve">ektové úlohy riešia formou tímovej spolupráce. V motivačnej fáze sa využíva motivačná demonštrácia a motivačný rozhovor, vo fáze expozície sa využívajú prevažne problémové a heuristické metódy. Fixácia vedomostí je realizovaná precvičovaním učiva, riešením krátkych problémových úloh. Pri diagnostikovaní a klasifikácii sa používa slovné a  písomné hodnotenie s aktívnym využívaním digitálnych technológií. Predmet sa vyučuje v odbornej učebni, ktorá je vybavená didaktickou technikou a názornými pomôckami. </w:t>
      </w:r>
    </w:p>
    <w:p w14:paraId="249EB0B5" w14:textId="77777777" w:rsidR="00E61B0B" w:rsidRDefault="00E61B0B">
      <w:pPr>
        <w:spacing w:after="0" w:line="360" w:lineRule="auto"/>
        <w:ind w:firstLine="72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E61B0B" w14:paraId="249EB0B7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249EB0B6" w14:textId="77777777" w:rsidR="00E61B0B" w:rsidRDefault="0010584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E61B0B" w14:paraId="249EB0BA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249EB0B8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249EB0B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E61B0B" w14:paraId="249EB0B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BB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Zákony mzdovej legislatívy, mzda</w:t>
            </w:r>
          </w:p>
        </w:tc>
        <w:tc>
          <w:tcPr>
            <w:tcW w:w="1842" w:type="dxa"/>
            <w:vAlign w:val="bottom"/>
          </w:tcPr>
          <w:p w14:paraId="249EB0BC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25 hodín</w:t>
            </w:r>
          </w:p>
        </w:tc>
      </w:tr>
      <w:tr w:rsidR="00E61B0B" w14:paraId="249EB0C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BE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Zákonník práce</w:t>
            </w:r>
          </w:p>
        </w:tc>
        <w:tc>
          <w:tcPr>
            <w:tcW w:w="1842" w:type="dxa"/>
            <w:vAlign w:val="bottom"/>
          </w:tcPr>
          <w:p w14:paraId="249EB0BF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C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C1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Vznik, zmena a skončenie pracovného pomeru</w:t>
            </w:r>
          </w:p>
        </w:tc>
        <w:tc>
          <w:tcPr>
            <w:tcW w:w="1842" w:type="dxa"/>
            <w:vAlign w:val="bottom"/>
          </w:tcPr>
          <w:p w14:paraId="249EB0C2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C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C4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Zákon o ochrane osobných údajov</w:t>
            </w:r>
          </w:p>
        </w:tc>
        <w:tc>
          <w:tcPr>
            <w:tcW w:w="1842" w:type="dxa"/>
            <w:vAlign w:val="bottom"/>
          </w:tcPr>
          <w:p w14:paraId="249EB0C5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C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C7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Vyhotovenie pracovnej zmluvy,</w:t>
            </w:r>
          </w:p>
        </w:tc>
        <w:tc>
          <w:tcPr>
            <w:tcW w:w="1842" w:type="dxa"/>
            <w:vAlign w:val="bottom"/>
          </w:tcPr>
          <w:p w14:paraId="249EB0C8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C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CA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Dohody o zmene pracovnej zmluvy,</w:t>
            </w:r>
          </w:p>
        </w:tc>
        <w:tc>
          <w:tcPr>
            <w:tcW w:w="1842" w:type="dxa"/>
            <w:vAlign w:val="center"/>
          </w:tcPr>
          <w:p w14:paraId="249EB0CB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C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CD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Dohody o skončení pracovného pomeru</w:t>
            </w:r>
          </w:p>
        </w:tc>
        <w:tc>
          <w:tcPr>
            <w:tcW w:w="1842" w:type="dxa"/>
            <w:vAlign w:val="center"/>
          </w:tcPr>
          <w:p w14:paraId="249EB0CE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D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D0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Dohody o prácach vykonávaných mimo pracovného pomeru</w:t>
            </w:r>
          </w:p>
        </w:tc>
        <w:tc>
          <w:tcPr>
            <w:tcW w:w="1842" w:type="dxa"/>
            <w:vAlign w:val="center"/>
          </w:tcPr>
          <w:p w14:paraId="249EB0D1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D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D3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Pracovný čas, dobu odpočinku a dovolenku</w:t>
            </w:r>
          </w:p>
        </w:tc>
        <w:tc>
          <w:tcPr>
            <w:tcW w:w="1842" w:type="dxa"/>
            <w:vAlign w:val="bottom"/>
          </w:tcPr>
          <w:p w14:paraId="249EB0D4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D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D6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priemerného hodinového a mesačného zárobku</w:t>
            </w:r>
          </w:p>
        </w:tc>
        <w:tc>
          <w:tcPr>
            <w:tcW w:w="1842" w:type="dxa"/>
            <w:vAlign w:val="bottom"/>
          </w:tcPr>
          <w:p w14:paraId="249EB0D7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D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D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 mzdy za odpracovaný čas</w:t>
            </w:r>
          </w:p>
        </w:tc>
        <w:tc>
          <w:tcPr>
            <w:tcW w:w="1842" w:type="dxa"/>
            <w:vAlign w:val="bottom"/>
          </w:tcPr>
          <w:p w14:paraId="249EB0DA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D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DC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náhrady mzdy za dovolenku a sviatky</w:t>
            </w:r>
          </w:p>
        </w:tc>
        <w:tc>
          <w:tcPr>
            <w:tcW w:w="1842" w:type="dxa"/>
            <w:vAlign w:val="bottom"/>
          </w:tcPr>
          <w:p w14:paraId="249EB0DD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E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DF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Zrážky zo mzdy a minimálne mzdové nároky</w:t>
            </w:r>
          </w:p>
        </w:tc>
        <w:tc>
          <w:tcPr>
            <w:tcW w:w="1842" w:type="dxa"/>
            <w:vAlign w:val="bottom"/>
          </w:tcPr>
          <w:p w14:paraId="249EB0E0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E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E2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Zabezpečenie zamestnanca počas dočasnej pracovnej neschopnosti</w:t>
            </w:r>
          </w:p>
        </w:tc>
        <w:tc>
          <w:tcPr>
            <w:tcW w:w="1842" w:type="dxa"/>
            <w:vAlign w:val="bottom"/>
          </w:tcPr>
          <w:p w14:paraId="249EB0E3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0E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E5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náhrady príjmu a nemocenskej dávky počas DPN</w:t>
            </w:r>
          </w:p>
        </w:tc>
        <w:tc>
          <w:tcPr>
            <w:tcW w:w="1842" w:type="dxa"/>
            <w:vAlign w:val="bottom"/>
          </w:tcPr>
          <w:p w14:paraId="249EB0E6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E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E8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Zákon o sociálnom fonde, zdravotnom a sociálnom poistení</w:t>
            </w:r>
          </w:p>
        </w:tc>
        <w:tc>
          <w:tcPr>
            <w:tcW w:w="1842" w:type="dxa"/>
            <w:vAlign w:val="bottom"/>
          </w:tcPr>
          <w:p w14:paraId="249EB0E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11 hodín</w:t>
            </w:r>
          </w:p>
        </w:tc>
      </w:tr>
      <w:tr w:rsidR="00E61B0B" w14:paraId="249EB0E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EB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Zákon o sociálnom fonde, jeho tvorba a použitie</w:t>
            </w:r>
          </w:p>
        </w:tc>
        <w:tc>
          <w:tcPr>
            <w:tcW w:w="1842" w:type="dxa"/>
            <w:vAlign w:val="bottom"/>
          </w:tcPr>
          <w:p w14:paraId="249EB0EC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F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EE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Zdravotné a sociálne poistenie </w:t>
            </w:r>
          </w:p>
        </w:tc>
        <w:tc>
          <w:tcPr>
            <w:tcW w:w="1842" w:type="dxa"/>
            <w:vAlign w:val="bottom"/>
          </w:tcPr>
          <w:p w14:paraId="249EB0EF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F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F1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Nemocenské poistenie, starobné a invalidné poistenie</w:t>
            </w:r>
          </w:p>
        </w:tc>
        <w:tc>
          <w:tcPr>
            <w:tcW w:w="1842" w:type="dxa"/>
            <w:vAlign w:val="bottom"/>
          </w:tcPr>
          <w:p w14:paraId="249EB0F2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F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F4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Úrazové poistenie, garančné poistenie</w:t>
            </w:r>
          </w:p>
        </w:tc>
        <w:tc>
          <w:tcPr>
            <w:tcW w:w="1842" w:type="dxa"/>
            <w:vAlign w:val="bottom"/>
          </w:tcPr>
          <w:p w14:paraId="249EB0F5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F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F7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Poistenie v nezamestnanosti a poistenie do rezervného fondu solidarity</w:t>
            </w:r>
          </w:p>
        </w:tc>
        <w:tc>
          <w:tcPr>
            <w:tcW w:w="1842" w:type="dxa"/>
            <w:vAlign w:val="bottom"/>
          </w:tcPr>
          <w:p w14:paraId="249EB0F8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F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FA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odvodov do zdravotnej a sociálnej poisťovne</w:t>
            </w:r>
          </w:p>
        </w:tc>
        <w:tc>
          <w:tcPr>
            <w:tcW w:w="1842" w:type="dxa"/>
            <w:vAlign w:val="bottom"/>
          </w:tcPr>
          <w:p w14:paraId="249EB0FB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0F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0FD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Výkazy do zdravotných poisťovní a do sociálnej poisťovne</w:t>
            </w:r>
          </w:p>
        </w:tc>
        <w:tc>
          <w:tcPr>
            <w:tcW w:w="1842" w:type="dxa"/>
            <w:vAlign w:val="bottom"/>
          </w:tcPr>
          <w:p w14:paraId="249EB0FE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10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00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Výpočet mzdy</w:t>
            </w:r>
          </w:p>
        </w:tc>
        <w:tc>
          <w:tcPr>
            <w:tcW w:w="1842" w:type="dxa"/>
            <w:vAlign w:val="bottom"/>
          </w:tcPr>
          <w:p w14:paraId="249EB101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E61B0B" w14:paraId="249EB10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03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Hrubá mzda</w:t>
            </w:r>
          </w:p>
        </w:tc>
        <w:tc>
          <w:tcPr>
            <w:tcW w:w="1842" w:type="dxa"/>
            <w:vAlign w:val="bottom"/>
          </w:tcPr>
          <w:p w14:paraId="249EB104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61B0B" w14:paraId="249EB10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06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Povinné odvody poistného do zdravotnej a sociálnej poisťovne</w:t>
            </w:r>
          </w:p>
        </w:tc>
        <w:tc>
          <w:tcPr>
            <w:tcW w:w="1842" w:type="dxa"/>
            <w:vAlign w:val="bottom"/>
          </w:tcPr>
          <w:p w14:paraId="249EB107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0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0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Vymeriavací základ pre zdravotné a sociálne poistenie</w:t>
            </w:r>
          </w:p>
        </w:tc>
        <w:tc>
          <w:tcPr>
            <w:tcW w:w="1842" w:type="dxa"/>
            <w:vAlign w:val="bottom"/>
          </w:tcPr>
          <w:p w14:paraId="249EB10A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0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0C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Úľavy pre odvody poistného</w:t>
            </w:r>
          </w:p>
        </w:tc>
        <w:tc>
          <w:tcPr>
            <w:tcW w:w="1842" w:type="dxa"/>
            <w:vAlign w:val="bottom"/>
          </w:tcPr>
          <w:p w14:paraId="249EB10D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1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0F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Nezdaniteľné časti základu dane</w:t>
            </w:r>
          </w:p>
        </w:tc>
        <w:tc>
          <w:tcPr>
            <w:tcW w:w="1842" w:type="dxa"/>
            <w:vAlign w:val="bottom"/>
          </w:tcPr>
          <w:p w14:paraId="249EB110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1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12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Zdaniteľná mzda, daňový bonus</w:t>
            </w:r>
          </w:p>
        </w:tc>
        <w:tc>
          <w:tcPr>
            <w:tcW w:w="1842" w:type="dxa"/>
            <w:vAlign w:val="bottom"/>
          </w:tcPr>
          <w:p w14:paraId="249EB113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1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15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Porovnanie preddavkovej a zrážkovej dani</w:t>
            </w:r>
          </w:p>
        </w:tc>
        <w:tc>
          <w:tcPr>
            <w:tcW w:w="1842" w:type="dxa"/>
            <w:vAlign w:val="bottom"/>
          </w:tcPr>
          <w:p w14:paraId="249EB116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1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18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Výkazy, dokumenty a potvrdenia súvisiace so mzdovým účtovníctvom</w:t>
            </w:r>
          </w:p>
        </w:tc>
        <w:tc>
          <w:tcPr>
            <w:tcW w:w="1842" w:type="dxa"/>
            <w:vAlign w:val="bottom"/>
          </w:tcPr>
          <w:p w14:paraId="249EB11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E61B0B" w14:paraId="249EB11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1B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Vytvorenie registračného listu zamestnávateľa a fyzickej osoby</w:t>
            </w:r>
          </w:p>
        </w:tc>
        <w:tc>
          <w:tcPr>
            <w:tcW w:w="1842" w:type="dxa"/>
            <w:vAlign w:val="bottom"/>
          </w:tcPr>
          <w:p w14:paraId="249EB11C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2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1E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Vytvorenie mesačného výkazu pre zdravotnú poisťovňu</w:t>
            </w:r>
          </w:p>
        </w:tc>
        <w:tc>
          <w:tcPr>
            <w:tcW w:w="1842" w:type="dxa"/>
            <w:vAlign w:val="bottom"/>
          </w:tcPr>
          <w:p w14:paraId="249EB11F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2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21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Vytvorenie mesačného výkazu pre sociálnu poisťovňu</w:t>
            </w:r>
          </w:p>
        </w:tc>
        <w:tc>
          <w:tcPr>
            <w:tcW w:w="1842" w:type="dxa"/>
            <w:vAlign w:val="bottom"/>
          </w:tcPr>
          <w:p w14:paraId="249EB122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2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24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Ročné zúčtovanie preddavkov na daň</w:t>
            </w:r>
          </w:p>
        </w:tc>
        <w:tc>
          <w:tcPr>
            <w:tcW w:w="1842" w:type="dxa"/>
            <w:vAlign w:val="bottom"/>
          </w:tcPr>
          <w:p w14:paraId="249EB125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2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27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Vytvorenie mzdového listu</w:t>
            </w:r>
          </w:p>
        </w:tc>
        <w:tc>
          <w:tcPr>
            <w:tcW w:w="1842" w:type="dxa"/>
            <w:vAlign w:val="bottom"/>
          </w:tcPr>
          <w:p w14:paraId="249EB128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2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2A" w14:textId="77777777" w:rsidR="00E61B0B" w:rsidRDefault="00105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Vyhlásenie na zdanenie príjmov FO zo závislej činnosti</w:t>
            </w:r>
          </w:p>
        </w:tc>
        <w:tc>
          <w:tcPr>
            <w:tcW w:w="1842" w:type="dxa"/>
            <w:vAlign w:val="bottom"/>
          </w:tcPr>
          <w:p w14:paraId="249EB12B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2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2D" w14:textId="77777777" w:rsidR="00E61B0B" w:rsidRDefault="00105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Vytvorenie zápočtového listu</w:t>
            </w:r>
          </w:p>
        </w:tc>
        <w:tc>
          <w:tcPr>
            <w:tcW w:w="1842" w:type="dxa"/>
            <w:vAlign w:val="bottom"/>
          </w:tcPr>
          <w:p w14:paraId="249EB12E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3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30" w14:textId="77777777" w:rsidR="00E61B0B" w:rsidRDefault="001058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Ekonomický program – mzdy a personalistika</w:t>
            </w:r>
          </w:p>
        </w:tc>
        <w:tc>
          <w:tcPr>
            <w:tcW w:w="1842" w:type="dxa"/>
            <w:vAlign w:val="bottom"/>
          </w:tcPr>
          <w:p w14:paraId="249EB131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14 hodín</w:t>
            </w:r>
          </w:p>
        </w:tc>
      </w:tr>
      <w:tr w:rsidR="00E61B0B" w14:paraId="249EB13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33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Oboznámenie sa s ekonomickým programom</w:t>
            </w:r>
          </w:p>
        </w:tc>
        <w:tc>
          <w:tcPr>
            <w:tcW w:w="1842" w:type="dxa"/>
            <w:vAlign w:val="bottom"/>
          </w:tcPr>
          <w:p w14:paraId="249EB134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3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36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v danom programe (tvorba výkazov, potvrdení, dokumentov)</w:t>
            </w:r>
          </w:p>
        </w:tc>
        <w:tc>
          <w:tcPr>
            <w:tcW w:w="1842" w:type="dxa"/>
            <w:vAlign w:val="bottom"/>
          </w:tcPr>
          <w:p w14:paraId="249EB137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61B0B" w14:paraId="249EB13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49EB139" w14:textId="77777777" w:rsidR="00E61B0B" w:rsidRDefault="0010584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Archivácia mzdovej agendy</w:t>
            </w:r>
          </w:p>
        </w:tc>
        <w:tc>
          <w:tcPr>
            <w:tcW w:w="1842" w:type="dxa"/>
            <w:vAlign w:val="bottom"/>
          </w:tcPr>
          <w:p w14:paraId="249EB13A" w14:textId="77777777" w:rsidR="00E61B0B" w:rsidRDefault="00E61B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49EB13C" w14:textId="77777777" w:rsidR="00E61B0B" w:rsidRDefault="00E61B0B">
      <w:pPr>
        <w:spacing w:line="276" w:lineRule="auto"/>
      </w:pPr>
    </w:p>
    <w:p w14:paraId="249EB13D" w14:textId="77777777" w:rsidR="00E61B0B" w:rsidRDefault="0010584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249EB13E" w14:textId="77777777" w:rsidR="00E61B0B" w:rsidRDefault="0010584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249EB13F" w14:textId="77777777" w:rsidR="00E61B0B" w:rsidRDefault="00E61B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49EB140" w14:textId="77777777" w:rsidR="00E61B0B" w:rsidRDefault="0010584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E61B0B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EB147" w14:textId="77777777" w:rsidR="00105845" w:rsidRDefault="00105845">
      <w:pPr>
        <w:spacing w:after="0" w:line="240" w:lineRule="auto"/>
      </w:pPr>
      <w:r>
        <w:separator/>
      </w:r>
    </w:p>
  </w:endnote>
  <w:endnote w:type="continuationSeparator" w:id="0">
    <w:p w14:paraId="249EB149" w14:textId="77777777" w:rsidR="00105845" w:rsidRDefault="00105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EB143" w14:textId="77777777" w:rsidR="00105845" w:rsidRDefault="00105845">
      <w:pPr>
        <w:spacing w:after="0" w:line="240" w:lineRule="auto"/>
      </w:pPr>
      <w:r>
        <w:separator/>
      </w:r>
    </w:p>
  </w:footnote>
  <w:footnote w:type="continuationSeparator" w:id="0">
    <w:p w14:paraId="249EB145" w14:textId="77777777" w:rsidR="00105845" w:rsidRDefault="00105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B141" w14:textId="77777777" w:rsidR="00E61B0B" w:rsidRDefault="001058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249EB143" wp14:editId="249EB144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9EB142" w14:textId="77777777" w:rsidR="00E61B0B" w:rsidRDefault="00E61B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0B"/>
    <w:rsid w:val="00105845"/>
    <w:rsid w:val="00A71870"/>
    <w:rsid w:val="00E6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B088"/>
  <w15:docId w15:val="{89F5A870-099F-42F5-BB78-1F178407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D468E4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D468E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D468E4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7ouCJolmuaic7+WLkaKpw+MwJg==">CgMxLjAyDmguMmptZ3l6czlzb3hiMghoLmdqZGd4czgAciExaXc5S1o3ZDBqallJNkVVTzdNdjZKcndLQUUwNFJvZ0I=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2024-08-15T08:51:00Z</dcterms:created>
  <dcterms:modified xsi:type="dcterms:W3CDTF">2025-07-30T07:12:00Z</dcterms:modified>
</cp:coreProperties>
</file>