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042964" w:rsidRPr="00737230" w14:paraId="0F37B3B6" w14:textId="77777777" w:rsidTr="007D6E3C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0DA08C45" w14:textId="77777777" w:rsidR="00042964" w:rsidRPr="00737230" w:rsidRDefault="00042964" w:rsidP="007D6E3C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331F959" w14:textId="3F7A905E" w:rsidR="00042964" w:rsidRPr="00737230" w:rsidRDefault="00A36ED4" w:rsidP="007D6E3C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EKONOMIKA</w:t>
            </w:r>
          </w:p>
        </w:tc>
      </w:tr>
      <w:tr w:rsidR="00042964" w:rsidRPr="00737230" w14:paraId="4E669CCC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6F60191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06A6F737" w14:textId="1F895233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60 = 60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042964" w:rsidRPr="00737230" w14:paraId="040B8783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19A1134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1E92E297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042964" w:rsidRPr="00737230" w14:paraId="18D10F64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95A5919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2A18E9E0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042964" w:rsidRPr="00737230" w14:paraId="73FB1271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7484114" w14:textId="77777777" w:rsidR="00042964" w:rsidRPr="00737230" w:rsidRDefault="00042964" w:rsidP="0004296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19F55643" w14:textId="7744ABDE" w:rsidR="00042964" w:rsidRPr="00737230" w:rsidRDefault="00042964" w:rsidP="00042964">
            <w:pPr>
              <w:rPr>
                <w:rFonts w:ascii="Arial" w:hAnsi="Arial" w:cs="Arial"/>
                <w:sz w:val="20"/>
                <w:lang w:eastAsia="sk-SK"/>
              </w:rPr>
            </w:pPr>
            <w:r w:rsidRPr="001A47E9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042964" w:rsidRPr="00737230" w14:paraId="6C190BEB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1FF6B8C" w14:textId="77777777" w:rsidR="00042964" w:rsidRPr="00737230" w:rsidRDefault="00042964" w:rsidP="0004296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3ECD7BF4" w14:textId="41FEB964" w:rsidR="00042964" w:rsidRPr="00737230" w:rsidRDefault="00042964" w:rsidP="00042964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042964" w:rsidRPr="00737230" w14:paraId="3C701ABC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7EB23C5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32C7F789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042964" w:rsidRPr="00737230" w14:paraId="2CD7D594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3BE8194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2E7DD818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042964" w:rsidRPr="00737230" w14:paraId="5209CFB1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F2965D4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223478C5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042964" w:rsidRPr="00737230" w14:paraId="3062452B" w14:textId="77777777" w:rsidTr="007D6E3C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D71A6FF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6C205B7A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042964" w:rsidRPr="00737230" w14:paraId="3C6FB352" w14:textId="77777777" w:rsidTr="007D6E3C">
        <w:trPr>
          <w:trHeight w:val="290"/>
        </w:trPr>
        <w:tc>
          <w:tcPr>
            <w:tcW w:w="3539" w:type="dxa"/>
            <w:noWrap/>
            <w:vAlign w:val="center"/>
          </w:tcPr>
          <w:p w14:paraId="45044130" w14:textId="77777777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4F459B9D" w14:textId="61BACB23" w:rsidR="00042964" w:rsidRPr="00737230" w:rsidRDefault="00042964" w:rsidP="007D6E3C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4C352182" w14:textId="77777777" w:rsidR="00E5712A" w:rsidRDefault="00E5712A" w:rsidP="004C1191">
      <w:pPr>
        <w:spacing w:line="360" w:lineRule="auto"/>
        <w:jc w:val="both"/>
        <w:rPr>
          <w:rFonts w:ascii="Arial" w:hAnsi="Arial" w:cs="Arial"/>
          <w:sz w:val="20"/>
        </w:rPr>
      </w:pPr>
    </w:p>
    <w:p w14:paraId="051029B4" w14:textId="77777777" w:rsidR="00042964" w:rsidRPr="00737230" w:rsidRDefault="00042964" w:rsidP="00042964">
      <w:pPr>
        <w:pStyle w:val="Bezriadkovania"/>
        <w:rPr>
          <w:rFonts w:ascii="Arial" w:hAnsi="Arial" w:cs="Arial"/>
          <w:sz w:val="20"/>
          <w:szCs w:val="20"/>
        </w:rPr>
      </w:pPr>
    </w:p>
    <w:p w14:paraId="581C8919" w14:textId="77777777" w:rsidR="00042964" w:rsidRPr="00737230" w:rsidRDefault="00042964" w:rsidP="00042964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9C47273" w14:textId="77777777" w:rsidR="00042964" w:rsidRPr="00737230" w:rsidRDefault="00042964" w:rsidP="00B973DC">
      <w:pPr>
        <w:pStyle w:val="Bezriadkovania"/>
        <w:rPr>
          <w:rFonts w:ascii="Arial" w:hAnsi="Arial" w:cs="Arial"/>
          <w:sz w:val="20"/>
          <w:szCs w:val="20"/>
        </w:rPr>
      </w:pPr>
    </w:p>
    <w:p w14:paraId="606794F8" w14:textId="77777777" w:rsidR="00042964" w:rsidRDefault="00042964" w:rsidP="00042964">
      <w:pPr>
        <w:widowControl w:val="0"/>
        <w:spacing w:line="360" w:lineRule="auto"/>
        <w:jc w:val="both"/>
        <w:rPr>
          <w:rFonts w:ascii="Arial" w:hAnsi="Arial" w:cs="Arial"/>
          <w:sz w:val="20"/>
        </w:rPr>
      </w:pPr>
      <w:r w:rsidRPr="004C1191">
        <w:rPr>
          <w:rFonts w:ascii="Arial" w:hAnsi="Arial" w:cs="Arial"/>
          <w:sz w:val="20"/>
        </w:rPr>
        <w:t>Obsah vzdelávania uvádza žiakov do problematiky ekonomiky, hospodárskej praxe, základných vzťahov a podstaty fungovania trhovej ekonomiky. Žiaci si osvoja používanie odbornej ekonomickej terminológie, získajú poznatky z oblasti makroekonómie a ekonomiky podniku, prehľad o zákonitostiach a javoch trhovej ekonomiky. Učia sa porozumieť základným prvkom trhu a osvoja si</w:t>
      </w:r>
      <w:r w:rsidRPr="004C1191">
        <w:rPr>
          <w:rFonts w:ascii="Arial" w:hAnsi="Arial" w:cs="Arial"/>
        </w:rPr>
        <w:t xml:space="preserve"> </w:t>
      </w:r>
      <w:r w:rsidRPr="004C1191">
        <w:rPr>
          <w:rFonts w:ascii="Arial" w:hAnsi="Arial" w:cs="Arial"/>
          <w:sz w:val="20"/>
        </w:rPr>
        <w:t>vedomosti o fungovaní trhu a jeho subjektoch. Oboznámia sa s podstatou podnikateľskej činnosti, jednotlivými formami podnikania a ich charakteristikou. Súčasťou obsahu vzdelávania sú odborné vedomosti o podniku, základných podnikových činnostiach, jeho hospodárení, postavení na trhu. Žiaci si osvoja vedomosti o podstate a štruktúre národného hospodárstva a naučia sa porozumieť základným makroekonomickým ukazovateľom.</w:t>
      </w:r>
      <w:r>
        <w:rPr>
          <w:rFonts w:ascii="Arial" w:hAnsi="Arial" w:cs="Arial"/>
          <w:sz w:val="20"/>
        </w:rPr>
        <w:t xml:space="preserve"> </w:t>
      </w:r>
      <w:r w:rsidRPr="002539F8">
        <w:rPr>
          <w:rFonts w:ascii="Arial" w:hAnsi="Arial" w:cs="Arial"/>
          <w:sz w:val="20"/>
        </w:rPr>
        <w:t>Predmet úzko súvisí s predmetmi slovenský jazyk, matematika, občianska náuka. Žiaci sa  oprú aj  o vedomosti získané na odborných predmetoch</w:t>
      </w:r>
      <w:r>
        <w:rPr>
          <w:rFonts w:ascii="Arial" w:hAnsi="Arial" w:cs="Arial"/>
          <w:sz w:val="20"/>
        </w:rPr>
        <w:t xml:space="preserve">. </w:t>
      </w:r>
      <w:r w:rsidRPr="004C1191">
        <w:rPr>
          <w:rFonts w:ascii="Arial" w:hAnsi="Arial" w:cs="Arial"/>
          <w:sz w:val="20"/>
        </w:rPr>
        <w:t>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</w:t>
      </w:r>
      <w:r>
        <w:rPr>
          <w:rFonts w:ascii="Arial" w:hAnsi="Arial" w:cs="Arial"/>
          <w:sz w:val="20"/>
        </w:rPr>
        <w:t xml:space="preserve"> </w:t>
      </w:r>
      <w:r w:rsidRPr="004C1191">
        <w:rPr>
          <w:rFonts w:ascii="Arial" w:hAnsi="Arial" w:cs="Arial"/>
          <w:sz w:val="20"/>
        </w:rPr>
        <w:t xml:space="preserve"> Pri diagnostikovaní a klasifikácii sa využíva slovné a  písomné hodnotenie s aktívnym využívaním digitálnych technológií.</w:t>
      </w:r>
      <w:r>
        <w:rPr>
          <w:rFonts w:ascii="Arial" w:hAnsi="Arial" w:cs="Arial"/>
          <w:sz w:val="20"/>
        </w:rPr>
        <w:t xml:space="preserve"> </w:t>
      </w:r>
      <w:r w:rsidRPr="004C1191">
        <w:rPr>
          <w:rFonts w:ascii="Arial" w:hAnsi="Arial" w:cs="Arial"/>
          <w:sz w:val="20"/>
        </w:rPr>
        <w:t xml:space="preserve">Predmet sa vyučuje v odbornej učebni, ktorá je vybavená  didaktickou technikou a názornými pomôckami. Osvojenie si vedomostí a kompetencií, pomôže absolventovi  využiť jeho odborné a osobnostné predpoklady, pre úspešné uplatnenie na trhu práce a pre budovanie profesijnej kariéry. </w:t>
      </w:r>
    </w:p>
    <w:p w14:paraId="1B625BC9" w14:textId="77777777" w:rsidR="00042964" w:rsidRDefault="00042964" w:rsidP="004C1191">
      <w:pPr>
        <w:spacing w:line="360" w:lineRule="auto"/>
        <w:jc w:val="both"/>
        <w:rPr>
          <w:rFonts w:ascii="Arial" w:hAnsi="Arial" w:cs="Arial"/>
          <w:sz w:val="20"/>
        </w:rPr>
      </w:pPr>
    </w:p>
    <w:p w14:paraId="26FF5FDC" w14:textId="77777777" w:rsidR="00E5712A" w:rsidRDefault="00E5712A" w:rsidP="004C1191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042964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5CD11B45" w:rsidR="00830ECA" w:rsidRPr="00FF2D77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02B463AC" w:rsidR="00830ECA" w:rsidRPr="00FF2D77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60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E5712A" w:rsidRPr="00E5712A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69CEDBA6" w:rsidR="00E5712A" w:rsidRPr="00E5712A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 xml:space="preserve">Svet práce </w:t>
            </w:r>
          </w:p>
        </w:tc>
        <w:tc>
          <w:tcPr>
            <w:tcW w:w="1842" w:type="dxa"/>
            <w:vAlign w:val="bottom"/>
          </w:tcPr>
          <w:p w14:paraId="7C6B67F6" w14:textId="0D524320" w:rsidR="00E5712A" w:rsidRPr="00E5712A" w:rsidRDefault="00E5712A" w:rsidP="00E5712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22 hodín</w:t>
            </w:r>
          </w:p>
        </w:tc>
      </w:tr>
      <w:tr w:rsidR="00E5712A" w:rsidRPr="00E5712A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43FFC525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Základné pojmy pracovného práva</w:t>
            </w:r>
          </w:p>
        </w:tc>
        <w:tc>
          <w:tcPr>
            <w:tcW w:w="1842" w:type="dxa"/>
            <w:vAlign w:val="bottom"/>
          </w:tcPr>
          <w:p w14:paraId="4C21797A" w14:textId="77777777" w:rsidR="00E5712A" w:rsidRPr="00E5712A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463AF36F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Povinnosti zamestnávateľa a zamestnanca pri vzniku pracovného pomeru</w:t>
            </w:r>
          </w:p>
        </w:tc>
        <w:tc>
          <w:tcPr>
            <w:tcW w:w="1842" w:type="dxa"/>
            <w:vAlign w:val="bottom"/>
          </w:tcPr>
          <w:p w14:paraId="40FAC483" w14:textId="77777777" w:rsidR="00E5712A" w:rsidRPr="00E5712A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5E99BEBE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Písomné doklady uchádzača o zamestnanie</w:t>
            </w:r>
          </w:p>
        </w:tc>
        <w:tc>
          <w:tcPr>
            <w:tcW w:w="1842" w:type="dxa"/>
            <w:vAlign w:val="bottom"/>
          </w:tcPr>
          <w:p w14:paraId="20D0A473" w14:textId="77777777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5712A" w:rsidRPr="00E5712A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4B375B8F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lastRenderedPageBreak/>
              <w:t>Príprava na prijímací pohovor</w:t>
            </w:r>
          </w:p>
        </w:tc>
        <w:tc>
          <w:tcPr>
            <w:tcW w:w="1842" w:type="dxa"/>
            <w:vAlign w:val="bottom"/>
          </w:tcPr>
          <w:p w14:paraId="7F67FF7A" w14:textId="77777777" w:rsidR="00E5712A" w:rsidRPr="00E5712A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25C0634E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Vznik, zmena a skončenie pracovného pomeru</w:t>
            </w:r>
          </w:p>
        </w:tc>
        <w:tc>
          <w:tcPr>
            <w:tcW w:w="1842" w:type="dxa"/>
            <w:vAlign w:val="center"/>
          </w:tcPr>
          <w:p w14:paraId="6B536F47" w14:textId="77777777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5712A" w:rsidRPr="00E5712A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60AE5F75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Pracovná zmluva a jej obsah</w:t>
            </w:r>
          </w:p>
        </w:tc>
        <w:tc>
          <w:tcPr>
            <w:tcW w:w="1842" w:type="dxa"/>
            <w:vAlign w:val="center"/>
          </w:tcPr>
          <w:p w14:paraId="45EC39FF" w14:textId="77777777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5712A" w:rsidRPr="00E5712A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1C90E738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Časové podmienky práce</w:t>
            </w:r>
          </w:p>
        </w:tc>
        <w:tc>
          <w:tcPr>
            <w:tcW w:w="1842" w:type="dxa"/>
            <w:vAlign w:val="center"/>
          </w:tcPr>
          <w:p w14:paraId="34F0E250" w14:textId="77777777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5712A" w:rsidRPr="00E5712A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7E030F67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Pracovné prostredie</w:t>
            </w:r>
          </w:p>
        </w:tc>
        <w:tc>
          <w:tcPr>
            <w:tcW w:w="1842" w:type="dxa"/>
            <w:vAlign w:val="bottom"/>
          </w:tcPr>
          <w:p w14:paraId="26BDA164" w14:textId="77777777" w:rsidR="00E5712A" w:rsidRPr="00E5712A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5672EE3C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Základné formy miezd</w:t>
            </w:r>
          </w:p>
        </w:tc>
        <w:tc>
          <w:tcPr>
            <w:tcW w:w="1842" w:type="dxa"/>
            <w:vAlign w:val="bottom"/>
          </w:tcPr>
          <w:p w14:paraId="10E3C85F" w14:textId="77777777" w:rsidR="00E5712A" w:rsidRPr="00E5712A" w:rsidRDefault="00E5712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386245C4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Doplnkové formy miezd, mzdové zvýhodnenia a náhrady mzdy</w:t>
            </w:r>
          </w:p>
        </w:tc>
        <w:tc>
          <w:tcPr>
            <w:tcW w:w="1842" w:type="dxa"/>
            <w:vAlign w:val="bottom"/>
          </w:tcPr>
          <w:p w14:paraId="386A4524" w14:textId="77777777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5712A" w:rsidRPr="00E5712A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2D1B4B8B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Daňový a odvodový systém</w:t>
            </w:r>
          </w:p>
        </w:tc>
        <w:tc>
          <w:tcPr>
            <w:tcW w:w="1842" w:type="dxa"/>
            <w:vAlign w:val="bottom"/>
          </w:tcPr>
          <w:p w14:paraId="56177676" w14:textId="77777777" w:rsidR="00E5712A" w:rsidRPr="00E5712A" w:rsidRDefault="00E5712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5712A" w:rsidRPr="00E5712A" w14:paraId="39614E2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FED094F" w14:textId="7B99F08A" w:rsidR="00E5712A" w:rsidRPr="00E5712A" w:rsidRDefault="00E5712A" w:rsidP="00873F26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Dôchodkové poistenie</w:t>
            </w:r>
          </w:p>
        </w:tc>
        <w:tc>
          <w:tcPr>
            <w:tcW w:w="1842" w:type="dxa"/>
            <w:vAlign w:val="bottom"/>
          </w:tcPr>
          <w:p w14:paraId="738B12E8" w14:textId="77777777" w:rsidR="00E5712A" w:rsidRPr="00E5712A" w:rsidRDefault="00E5712A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41D7020F" w:rsidR="00E5712A" w:rsidRPr="00E5712A" w:rsidRDefault="00E5712A" w:rsidP="00873F2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Zamestnanosť, rekvalifikácia, znevýhodnené skupiny na trhu práce</w:t>
            </w:r>
          </w:p>
        </w:tc>
        <w:tc>
          <w:tcPr>
            <w:tcW w:w="1842" w:type="dxa"/>
            <w:vAlign w:val="bottom"/>
          </w:tcPr>
          <w:p w14:paraId="05041E43" w14:textId="48C27C2B" w:rsidR="00E5712A" w:rsidRPr="00E5712A" w:rsidRDefault="00E5712A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16 hodín</w:t>
            </w:r>
          </w:p>
        </w:tc>
      </w:tr>
      <w:tr w:rsidR="00E5712A" w:rsidRPr="00E5712A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18FC3669" w:rsidR="00E5712A" w:rsidRPr="00E5712A" w:rsidRDefault="00E5712A" w:rsidP="00873F2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Nezamestnanosť a inflácia</w:t>
            </w:r>
          </w:p>
        </w:tc>
        <w:tc>
          <w:tcPr>
            <w:tcW w:w="1842" w:type="dxa"/>
            <w:vAlign w:val="bottom"/>
          </w:tcPr>
          <w:p w14:paraId="509970D4" w14:textId="77777777" w:rsidR="00E5712A" w:rsidRPr="00E5712A" w:rsidRDefault="00E5712A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1EC027D9" w:rsidR="00E5712A" w:rsidRPr="00E5712A" w:rsidRDefault="00E5712A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Trh práce</w:t>
            </w:r>
          </w:p>
        </w:tc>
        <w:tc>
          <w:tcPr>
            <w:tcW w:w="1842" w:type="dxa"/>
            <w:vAlign w:val="bottom"/>
          </w:tcPr>
          <w:p w14:paraId="56D9A815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5C3C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4CC5712B" w:rsidR="00E5712A" w:rsidRPr="00E5712A" w:rsidRDefault="00E5712A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Aktívne a pasívne opatrenia na trhu práce</w:t>
            </w:r>
          </w:p>
        </w:tc>
        <w:tc>
          <w:tcPr>
            <w:tcW w:w="1842" w:type="dxa"/>
            <w:vAlign w:val="bottom"/>
          </w:tcPr>
          <w:p w14:paraId="04D0E062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04BF6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4D936772" w:rsidR="00E5712A" w:rsidRPr="00E5712A" w:rsidRDefault="00E5712A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Zdroje profesijných informácií, stratégia rozhodovania</w:t>
            </w:r>
          </w:p>
        </w:tc>
        <w:tc>
          <w:tcPr>
            <w:tcW w:w="1842" w:type="dxa"/>
            <w:vAlign w:val="bottom"/>
          </w:tcPr>
          <w:p w14:paraId="15B29D5F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2AF45EAD" w:rsidR="00E5712A" w:rsidRPr="00E5712A" w:rsidRDefault="00E5712A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 xml:space="preserve">Pravidlá riadenia osobných financií </w:t>
            </w:r>
          </w:p>
        </w:tc>
        <w:tc>
          <w:tcPr>
            <w:tcW w:w="1842" w:type="dxa"/>
            <w:vAlign w:val="bottom"/>
          </w:tcPr>
          <w:p w14:paraId="5C29F074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1C9D8A8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59F42D5" w14:textId="62D85B98" w:rsidR="00E5712A" w:rsidRPr="00E5712A" w:rsidRDefault="00E5712A" w:rsidP="00655B8E">
            <w:pPr>
              <w:rPr>
                <w:rFonts w:ascii="Arial" w:hAnsi="Arial" w:cs="Arial"/>
                <w:b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Banková sústava</w:t>
            </w:r>
          </w:p>
        </w:tc>
        <w:tc>
          <w:tcPr>
            <w:tcW w:w="1842" w:type="dxa"/>
            <w:vAlign w:val="bottom"/>
          </w:tcPr>
          <w:p w14:paraId="09D3C79D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6B2CD7D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9E615E" w14:textId="32619C4A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Centrálna banka a jej postavenie v bankovej sústave</w:t>
            </w:r>
          </w:p>
        </w:tc>
        <w:tc>
          <w:tcPr>
            <w:tcW w:w="1842" w:type="dxa"/>
            <w:vAlign w:val="bottom"/>
          </w:tcPr>
          <w:p w14:paraId="7E0A4603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25098AE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E62388" w14:textId="7A21F074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Komerčná banka a jej operácie</w:t>
            </w:r>
          </w:p>
        </w:tc>
        <w:tc>
          <w:tcPr>
            <w:tcW w:w="1842" w:type="dxa"/>
            <w:vAlign w:val="bottom"/>
          </w:tcPr>
          <w:p w14:paraId="1EEDD4CD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61FF0EF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7D63A0C" w14:textId="10EE5893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Poisťovníctvo, základné pojmy, funkcie a princípy</w:t>
            </w:r>
          </w:p>
        </w:tc>
        <w:tc>
          <w:tcPr>
            <w:tcW w:w="1842" w:type="dxa"/>
            <w:vAlign w:val="bottom"/>
          </w:tcPr>
          <w:p w14:paraId="307DB7C0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2239F90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495EC9" w14:textId="251441B7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Poistný vzťah a jeho účastníci</w:t>
            </w:r>
          </w:p>
        </w:tc>
        <w:tc>
          <w:tcPr>
            <w:tcW w:w="1842" w:type="dxa"/>
            <w:vAlign w:val="bottom"/>
          </w:tcPr>
          <w:p w14:paraId="01C5F44E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34D13EF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184A040" w14:textId="5A68D7FA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Životné poistenie</w:t>
            </w:r>
          </w:p>
        </w:tc>
        <w:tc>
          <w:tcPr>
            <w:tcW w:w="1842" w:type="dxa"/>
            <w:vAlign w:val="bottom"/>
          </w:tcPr>
          <w:p w14:paraId="0804A241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5889ECC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90093B3" w14:textId="3E4CFE2F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Neživotné poistenie</w:t>
            </w:r>
          </w:p>
        </w:tc>
        <w:tc>
          <w:tcPr>
            <w:tcW w:w="1842" w:type="dxa"/>
            <w:vAlign w:val="bottom"/>
          </w:tcPr>
          <w:p w14:paraId="062F1D76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67C4C6C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B8DD58E" w14:textId="030A792B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Daň a jej význam v národnom hospodárstve</w:t>
            </w:r>
          </w:p>
        </w:tc>
        <w:tc>
          <w:tcPr>
            <w:tcW w:w="1842" w:type="dxa"/>
            <w:vAlign w:val="bottom"/>
          </w:tcPr>
          <w:p w14:paraId="4B466CB2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2B279C1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4A90C0D" w14:textId="299B9FDB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Štátny rozpočet a funkcie štátu</w:t>
            </w:r>
          </w:p>
        </w:tc>
        <w:tc>
          <w:tcPr>
            <w:tcW w:w="1842" w:type="dxa"/>
            <w:vAlign w:val="bottom"/>
          </w:tcPr>
          <w:p w14:paraId="04402066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620E307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8E0C584" w14:textId="556658EA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Klasifikácia daní</w:t>
            </w:r>
          </w:p>
        </w:tc>
        <w:tc>
          <w:tcPr>
            <w:tcW w:w="1842" w:type="dxa"/>
            <w:vAlign w:val="bottom"/>
          </w:tcPr>
          <w:p w14:paraId="22062D8D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7055B47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F69C37D" w14:textId="22F8283F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Základné daňové náležitosti</w:t>
            </w:r>
          </w:p>
        </w:tc>
        <w:tc>
          <w:tcPr>
            <w:tcW w:w="1842" w:type="dxa"/>
            <w:vAlign w:val="bottom"/>
          </w:tcPr>
          <w:p w14:paraId="077D6343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62E9974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CF3960" w14:textId="365C63D8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Priame dane</w:t>
            </w:r>
          </w:p>
        </w:tc>
        <w:tc>
          <w:tcPr>
            <w:tcW w:w="1842" w:type="dxa"/>
            <w:vAlign w:val="bottom"/>
          </w:tcPr>
          <w:p w14:paraId="5DD8D829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2DF5038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1E10053" w14:textId="2B948159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Nepriame dane</w:t>
            </w:r>
          </w:p>
        </w:tc>
        <w:tc>
          <w:tcPr>
            <w:tcW w:w="1842" w:type="dxa"/>
            <w:vAlign w:val="bottom"/>
          </w:tcPr>
          <w:p w14:paraId="0FD65E86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3969FFE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B2C9998" w14:textId="328C4BDE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>Výchova k podnikaniu</w:t>
            </w:r>
          </w:p>
        </w:tc>
        <w:tc>
          <w:tcPr>
            <w:tcW w:w="1842" w:type="dxa"/>
            <w:vAlign w:val="bottom"/>
          </w:tcPr>
          <w:p w14:paraId="690D2C51" w14:textId="68225270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15 hodín</w:t>
            </w:r>
          </w:p>
        </w:tc>
      </w:tr>
      <w:tr w:rsidR="00E5712A" w:rsidRPr="00E5712A" w14:paraId="5C3E6DA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B8E0B0E" w14:textId="6200BA23" w:rsidR="00E5712A" w:rsidRPr="00E5712A" w:rsidRDefault="00E5712A" w:rsidP="00655B8E">
            <w:pPr>
              <w:rPr>
                <w:rFonts w:ascii="Arial" w:hAnsi="Arial" w:cs="Arial"/>
                <w:b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Podnikanie, subjekty podnikania, právne formy</w:t>
            </w:r>
          </w:p>
        </w:tc>
        <w:tc>
          <w:tcPr>
            <w:tcW w:w="1842" w:type="dxa"/>
            <w:vAlign w:val="bottom"/>
          </w:tcPr>
          <w:p w14:paraId="334AEBA2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7A196B4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F00546" w14:textId="3C367B75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Živnostenské podnikanie</w:t>
            </w:r>
          </w:p>
        </w:tc>
        <w:tc>
          <w:tcPr>
            <w:tcW w:w="1842" w:type="dxa"/>
            <w:vAlign w:val="bottom"/>
          </w:tcPr>
          <w:p w14:paraId="3C072B6B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2A6FC3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4824CD8" w14:textId="5B26464F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 xml:space="preserve">Obchodné spoločnosti </w:t>
            </w:r>
          </w:p>
        </w:tc>
        <w:tc>
          <w:tcPr>
            <w:tcW w:w="1842" w:type="dxa"/>
            <w:vAlign w:val="bottom"/>
          </w:tcPr>
          <w:p w14:paraId="75CADDAC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4D29D96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B6BF9F3" w14:textId="59872D45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Družstvá</w:t>
            </w:r>
          </w:p>
        </w:tc>
        <w:tc>
          <w:tcPr>
            <w:tcW w:w="1842" w:type="dxa"/>
            <w:vAlign w:val="bottom"/>
          </w:tcPr>
          <w:p w14:paraId="18609B13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7C71C0B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F0E904B" w14:textId="32FA8B70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Iné formy podnikania</w:t>
            </w:r>
          </w:p>
        </w:tc>
        <w:tc>
          <w:tcPr>
            <w:tcW w:w="1842" w:type="dxa"/>
            <w:vAlign w:val="bottom"/>
          </w:tcPr>
          <w:p w14:paraId="6CC27E3C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3DA53FB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CFF088E" w14:textId="078A8BEE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Riešenie krízy, resp. úpadku firmy</w:t>
            </w:r>
          </w:p>
        </w:tc>
        <w:tc>
          <w:tcPr>
            <w:tcW w:w="1842" w:type="dxa"/>
            <w:vAlign w:val="bottom"/>
          </w:tcPr>
          <w:p w14:paraId="6EF810B1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64085EC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70A650B" w14:textId="30297CAC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Zrušenie a zánik podniku</w:t>
            </w:r>
          </w:p>
        </w:tc>
        <w:tc>
          <w:tcPr>
            <w:tcW w:w="1842" w:type="dxa"/>
            <w:vAlign w:val="bottom"/>
          </w:tcPr>
          <w:p w14:paraId="74D32A3D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FBE4D8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7A2F3C3" w14:textId="12B18D1D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Ekonomická stránka činnosti podniku, náklady, výnosy</w:t>
            </w:r>
          </w:p>
        </w:tc>
        <w:tc>
          <w:tcPr>
            <w:tcW w:w="1842" w:type="dxa"/>
            <w:vAlign w:val="bottom"/>
          </w:tcPr>
          <w:p w14:paraId="516E4E4A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2463E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B67596B" w14:textId="06004A18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Finančné plánovanie podniku</w:t>
            </w:r>
          </w:p>
        </w:tc>
        <w:tc>
          <w:tcPr>
            <w:tcW w:w="1842" w:type="dxa"/>
            <w:vAlign w:val="bottom"/>
          </w:tcPr>
          <w:p w14:paraId="36DE1E89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418D218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2CF6F4F" w14:textId="5427340A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Formy financovania podnikov</w:t>
            </w:r>
          </w:p>
        </w:tc>
        <w:tc>
          <w:tcPr>
            <w:tcW w:w="1842" w:type="dxa"/>
            <w:vAlign w:val="bottom"/>
          </w:tcPr>
          <w:p w14:paraId="6AEDD83A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4E9C6A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34CC518" w14:textId="7F043BBF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Výsledok hospodárenia podniku</w:t>
            </w:r>
          </w:p>
        </w:tc>
        <w:tc>
          <w:tcPr>
            <w:tcW w:w="1842" w:type="dxa"/>
            <w:vAlign w:val="bottom"/>
          </w:tcPr>
          <w:p w14:paraId="13321F5C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FD7B05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F70A83" w14:textId="6074FF9A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 xml:space="preserve">Spotrebiteľská výchova </w:t>
            </w:r>
          </w:p>
        </w:tc>
        <w:tc>
          <w:tcPr>
            <w:tcW w:w="1842" w:type="dxa"/>
            <w:vAlign w:val="bottom"/>
          </w:tcPr>
          <w:p w14:paraId="525B339B" w14:textId="037EA279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hAnsi="Arial" w:cs="Arial"/>
                <w:b/>
                <w:sz w:val="20"/>
              </w:rPr>
              <w:t>7 hodín</w:t>
            </w:r>
          </w:p>
        </w:tc>
      </w:tr>
      <w:tr w:rsidR="00E5712A" w:rsidRPr="00E5712A" w14:paraId="00C675B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4479CB9" w14:textId="2C2BA22C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Kúpno – predajné vzťahy</w:t>
            </w:r>
          </w:p>
        </w:tc>
        <w:tc>
          <w:tcPr>
            <w:tcW w:w="1842" w:type="dxa"/>
            <w:vAlign w:val="bottom"/>
          </w:tcPr>
          <w:p w14:paraId="2A545826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ABFAD7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737B92" w14:textId="20F93DE4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lastRenderedPageBreak/>
              <w:t>Kúpna zmluva</w:t>
            </w:r>
          </w:p>
        </w:tc>
        <w:tc>
          <w:tcPr>
            <w:tcW w:w="1842" w:type="dxa"/>
            <w:vAlign w:val="bottom"/>
          </w:tcPr>
          <w:p w14:paraId="11587CFD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0953008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AF2CD8F" w14:textId="14C80762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Platobný styk</w:t>
            </w:r>
          </w:p>
        </w:tc>
        <w:tc>
          <w:tcPr>
            <w:tcW w:w="1842" w:type="dxa"/>
            <w:vAlign w:val="bottom"/>
          </w:tcPr>
          <w:p w14:paraId="0FC4BB52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1AB530B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E98FAD" w14:textId="58CFECE1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Práva a povinnosti spotrebiteľa a predávajúceho</w:t>
            </w:r>
          </w:p>
        </w:tc>
        <w:tc>
          <w:tcPr>
            <w:tcW w:w="1842" w:type="dxa"/>
            <w:vAlign w:val="bottom"/>
          </w:tcPr>
          <w:p w14:paraId="2239B3D8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5712A" w:rsidRPr="00E5712A" w14:paraId="22729E6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429189A" w14:textId="3BBF4902" w:rsidR="00E5712A" w:rsidRPr="00E5712A" w:rsidRDefault="00E5712A" w:rsidP="00655B8E">
            <w:pPr>
              <w:rPr>
                <w:rFonts w:ascii="Arial" w:hAnsi="Arial" w:cs="Arial"/>
                <w:sz w:val="20"/>
              </w:rPr>
            </w:pPr>
            <w:r w:rsidRPr="00E5712A">
              <w:rPr>
                <w:rFonts w:ascii="Arial" w:hAnsi="Arial" w:cs="Arial"/>
                <w:sz w:val="20"/>
              </w:rPr>
              <w:t>Reklamácia</w:t>
            </w:r>
          </w:p>
        </w:tc>
        <w:tc>
          <w:tcPr>
            <w:tcW w:w="1842" w:type="dxa"/>
            <w:vAlign w:val="bottom"/>
          </w:tcPr>
          <w:p w14:paraId="47A1BA3D" w14:textId="77777777" w:rsidR="00E5712A" w:rsidRPr="00E5712A" w:rsidRDefault="00E5712A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E5712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E5712A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E5712A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E5712A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E5712A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E5712A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E5712A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E5712A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Pr="00E5712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Arial" w:hAnsi="Arial" w:cs="Arial"/>
          <w:sz w:val="20"/>
          <w:szCs w:val="20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4298" w14:textId="77777777" w:rsidR="009C710A" w:rsidRDefault="009C710A">
      <w:r>
        <w:separator/>
      </w:r>
    </w:p>
  </w:endnote>
  <w:endnote w:type="continuationSeparator" w:id="0">
    <w:p w14:paraId="3EF0BA4D" w14:textId="77777777" w:rsidR="009C710A" w:rsidRDefault="009C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B05E" w14:textId="77777777" w:rsidR="009C710A" w:rsidRDefault="009C710A">
      <w:r>
        <w:separator/>
      </w:r>
    </w:p>
  </w:footnote>
  <w:footnote w:type="continuationSeparator" w:id="0">
    <w:p w14:paraId="1B500858" w14:textId="77777777" w:rsidR="009C710A" w:rsidRDefault="009C7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C79D" w14:textId="77777777" w:rsidR="00BD7C55" w:rsidRPr="00A36ED4" w:rsidRDefault="00BD7C55" w:rsidP="00BD7C55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A36ED4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694E3C" wp14:editId="41EB355B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FB90FC" id="Group 525" o:spid="_x0000_s1026" style="position:absolute;margin-left:4.2pt;margin-top:2.35pt;width:119.05pt;height:37.95pt;z-index:251658240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A36ED4">
      <w:rPr>
        <w:rFonts w:ascii="Raleway" w:hAnsi="Raleway"/>
        <w:sz w:val="18"/>
        <w:szCs w:val="18"/>
      </w:rPr>
      <w:t>Stredná priemyselná škola strojnícka, Duklianska 1, Prešov</w:t>
    </w:r>
  </w:p>
  <w:p w14:paraId="6E12D4B5" w14:textId="77777777" w:rsidR="00BD7C55" w:rsidRPr="00A36ED4" w:rsidRDefault="00BD7C55" w:rsidP="00BD7C55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A36ED4">
      <w:rPr>
        <w:rFonts w:ascii="Raleway" w:hAnsi="Raleway"/>
        <w:sz w:val="18"/>
        <w:szCs w:val="18"/>
      </w:rPr>
      <w:t>Duklianska 1</w:t>
    </w:r>
  </w:p>
  <w:p w14:paraId="63771B90" w14:textId="77777777" w:rsidR="00BD7C55" w:rsidRPr="00A36ED4" w:rsidRDefault="00BD7C55" w:rsidP="00BD7C55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A36ED4">
      <w:rPr>
        <w:rFonts w:ascii="Raleway" w:hAnsi="Raleway"/>
        <w:sz w:val="18"/>
        <w:szCs w:val="18"/>
      </w:rPr>
      <w:t xml:space="preserve">080 04 Prešov </w:t>
    </w:r>
  </w:p>
  <w:p w14:paraId="0A3F9A43" w14:textId="71CE67E0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642268757">
    <w:abstractNumId w:val="6"/>
  </w:num>
  <w:num w:numId="2" w16cid:durableId="1582985946">
    <w:abstractNumId w:val="5"/>
  </w:num>
  <w:num w:numId="3" w16cid:durableId="817265915">
    <w:abstractNumId w:val="2"/>
  </w:num>
  <w:num w:numId="4" w16cid:durableId="964389007">
    <w:abstractNumId w:val="1"/>
  </w:num>
  <w:num w:numId="5" w16cid:durableId="1917543972">
    <w:abstractNumId w:val="7"/>
  </w:num>
  <w:num w:numId="6" w16cid:durableId="1128427254">
    <w:abstractNumId w:val="0"/>
  </w:num>
  <w:num w:numId="7" w16cid:durableId="16006733">
    <w:abstractNumId w:val="3"/>
  </w:num>
  <w:num w:numId="8" w16cid:durableId="413403798">
    <w:abstractNumId w:val="4"/>
  </w:num>
  <w:num w:numId="9" w16cid:durableId="2191683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296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366D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A47E9"/>
    <w:rsid w:val="001B0810"/>
    <w:rsid w:val="001B778A"/>
    <w:rsid w:val="001D09FC"/>
    <w:rsid w:val="001D53B8"/>
    <w:rsid w:val="00200FA1"/>
    <w:rsid w:val="002056EE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539F8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05C2"/>
    <w:rsid w:val="00391115"/>
    <w:rsid w:val="00393859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4D2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191"/>
    <w:rsid w:val="004C1A6A"/>
    <w:rsid w:val="004C2A4E"/>
    <w:rsid w:val="004C3D13"/>
    <w:rsid w:val="004C7307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5CF7"/>
    <w:rsid w:val="0059632C"/>
    <w:rsid w:val="00597D06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AB9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1493"/>
    <w:rsid w:val="0072256E"/>
    <w:rsid w:val="00723BBD"/>
    <w:rsid w:val="0073146E"/>
    <w:rsid w:val="00733DD2"/>
    <w:rsid w:val="00737230"/>
    <w:rsid w:val="00740690"/>
    <w:rsid w:val="00745FE2"/>
    <w:rsid w:val="00747CF5"/>
    <w:rsid w:val="00750EF7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2375"/>
    <w:rsid w:val="00915315"/>
    <w:rsid w:val="00921D66"/>
    <w:rsid w:val="009227E2"/>
    <w:rsid w:val="00923167"/>
    <w:rsid w:val="00927989"/>
    <w:rsid w:val="009433F6"/>
    <w:rsid w:val="00943ED4"/>
    <w:rsid w:val="009540B9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10A"/>
    <w:rsid w:val="009C76A9"/>
    <w:rsid w:val="009D04A9"/>
    <w:rsid w:val="009D10BE"/>
    <w:rsid w:val="009D42BA"/>
    <w:rsid w:val="009D6389"/>
    <w:rsid w:val="009E2B94"/>
    <w:rsid w:val="009E5398"/>
    <w:rsid w:val="009F2E24"/>
    <w:rsid w:val="009F2FF8"/>
    <w:rsid w:val="009F3713"/>
    <w:rsid w:val="009F65E2"/>
    <w:rsid w:val="009F7EB6"/>
    <w:rsid w:val="00A03E1D"/>
    <w:rsid w:val="00A058EE"/>
    <w:rsid w:val="00A0629D"/>
    <w:rsid w:val="00A07D23"/>
    <w:rsid w:val="00A1078C"/>
    <w:rsid w:val="00A205DA"/>
    <w:rsid w:val="00A25E3C"/>
    <w:rsid w:val="00A36ED4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973DC"/>
    <w:rsid w:val="00BA0F9B"/>
    <w:rsid w:val="00BA426B"/>
    <w:rsid w:val="00BB3443"/>
    <w:rsid w:val="00BC0CE1"/>
    <w:rsid w:val="00BC35A4"/>
    <w:rsid w:val="00BC526A"/>
    <w:rsid w:val="00BD4881"/>
    <w:rsid w:val="00BD7C55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940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544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5712A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155A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docId w15:val="{C5F757E0-A62A-44DE-91F0-CB8C68B3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42964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2539F8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7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0AB52-B5A7-4B5C-A4AF-711A4566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9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creator>--</dc:creator>
  <cp:lastModifiedBy>Rusinková Hedviga RNDr.</cp:lastModifiedBy>
  <cp:revision>13</cp:revision>
  <cp:lastPrinted>2019-09-05T11:10:00Z</cp:lastPrinted>
  <dcterms:created xsi:type="dcterms:W3CDTF">2025-06-03T07:20:00Z</dcterms:created>
  <dcterms:modified xsi:type="dcterms:W3CDTF">2025-07-29T09:47:00Z</dcterms:modified>
</cp:coreProperties>
</file>