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9DC69" w14:textId="77777777" w:rsidR="00D93BF6" w:rsidRDefault="00D93BF6">
      <w:pPr>
        <w:widowControl w:val="0"/>
        <w:spacing w:line="276" w:lineRule="auto"/>
        <w:rPr>
          <w:b/>
          <w:sz w:val="20"/>
          <w:szCs w:val="20"/>
        </w:rPr>
      </w:pPr>
    </w:p>
    <w:tbl>
      <w:tblPr>
        <w:tblStyle w:val="a8"/>
        <w:tblW w:w="9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15"/>
        <w:gridCol w:w="5460"/>
      </w:tblGrid>
      <w:tr w:rsidR="00D93BF6" w14:paraId="4789DC6C" w14:textId="77777777">
        <w:trPr>
          <w:trHeight w:val="900"/>
        </w:trPr>
        <w:tc>
          <w:tcPr>
            <w:tcW w:w="3615" w:type="dxa"/>
            <w:vAlign w:val="center"/>
          </w:tcPr>
          <w:p w14:paraId="4789DC6A" w14:textId="77777777" w:rsidR="00D93BF6" w:rsidRDefault="00575608">
            <w:pPr>
              <w:spacing w:line="360" w:lineRule="auto"/>
              <w:rPr>
                <w:rFonts w:eastAsia="Arial" w:cs="Arial"/>
                <w:b/>
              </w:rPr>
            </w:pPr>
            <w:r>
              <w:rPr>
                <w:rFonts w:eastAsia="Arial" w:cs="Arial"/>
                <w:b/>
              </w:rPr>
              <w:t>Názov vyučovacieho predmetu</w:t>
            </w:r>
          </w:p>
        </w:tc>
        <w:tc>
          <w:tcPr>
            <w:tcW w:w="5460" w:type="dxa"/>
            <w:vAlign w:val="center"/>
          </w:tcPr>
          <w:p w14:paraId="4789DC6B" w14:textId="218B77FF" w:rsidR="00D93BF6" w:rsidRPr="00575608" w:rsidRDefault="00575608">
            <w:pPr>
              <w:spacing w:line="360" w:lineRule="auto"/>
              <w:rPr>
                <w:rFonts w:eastAsia="Arial" w:cs="Arial"/>
                <w:bCs/>
              </w:rPr>
            </w:pPr>
            <w:r w:rsidRPr="00575608">
              <w:rPr>
                <w:rFonts w:eastAsia="Arial" w:cs="Arial"/>
                <w:bCs/>
              </w:rPr>
              <w:t>DOPRAVA A MANIPULÁCIA</w:t>
            </w:r>
          </w:p>
        </w:tc>
      </w:tr>
      <w:tr w:rsidR="00D93BF6" w14:paraId="4789DC6F" w14:textId="77777777">
        <w:trPr>
          <w:trHeight w:val="290"/>
        </w:trPr>
        <w:tc>
          <w:tcPr>
            <w:tcW w:w="3615" w:type="dxa"/>
            <w:vAlign w:val="center"/>
          </w:tcPr>
          <w:p w14:paraId="4789DC6D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Počet vyučovacích hodín v ročníkoch</w:t>
            </w:r>
          </w:p>
        </w:tc>
        <w:tc>
          <w:tcPr>
            <w:tcW w:w="5460" w:type="dxa"/>
            <w:vAlign w:val="center"/>
          </w:tcPr>
          <w:p w14:paraId="4789DC6E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 xml:space="preserve">0 + 0 + 66 + 30 = 96 hodín  </w:t>
            </w:r>
          </w:p>
        </w:tc>
      </w:tr>
      <w:tr w:rsidR="00D93BF6" w14:paraId="4789DC72" w14:textId="77777777">
        <w:trPr>
          <w:trHeight w:val="290"/>
        </w:trPr>
        <w:tc>
          <w:tcPr>
            <w:tcW w:w="3615" w:type="dxa"/>
            <w:vAlign w:val="center"/>
          </w:tcPr>
          <w:p w14:paraId="4789DC70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Stredná odborná škola</w:t>
            </w:r>
          </w:p>
        </w:tc>
        <w:tc>
          <w:tcPr>
            <w:tcW w:w="5460" w:type="dxa"/>
            <w:vAlign w:val="center"/>
          </w:tcPr>
          <w:p w14:paraId="4789DC71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Stredná priemyselná škola strojnícka, Duklianska 1, Prešov</w:t>
            </w:r>
          </w:p>
        </w:tc>
      </w:tr>
      <w:tr w:rsidR="00D93BF6" w14:paraId="4789DC75" w14:textId="77777777">
        <w:trPr>
          <w:trHeight w:val="290"/>
        </w:trPr>
        <w:tc>
          <w:tcPr>
            <w:tcW w:w="3615" w:type="dxa"/>
            <w:vAlign w:val="center"/>
          </w:tcPr>
          <w:p w14:paraId="4789DC73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Názov ŠVP  </w:t>
            </w:r>
          </w:p>
        </w:tc>
        <w:tc>
          <w:tcPr>
            <w:tcW w:w="5460" w:type="dxa"/>
          </w:tcPr>
          <w:p w14:paraId="4789DC74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37 Doprava, pošty a telekomunikácie</w:t>
            </w:r>
          </w:p>
        </w:tc>
      </w:tr>
      <w:tr w:rsidR="00D93BF6" w14:paraId="4789DC78" w14:textId="77777777">
        <w:trPr>
          <w:trHeight w:val="290"/>
        </w:trPr>
        <w:tc>
          <w:tcPr>
            <w:tcW w:w="3615" w:type="dxa"/>
            <w:vAlign w:val="center"/>
          </w:tcPr>
          <w:p w14:paraId="4789DC76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Názov ŠkVP</w:t>
            </w:r>
          </w:p>
        </w:tc>
        <w:tc>
          <w:tcPr>
            <w:tcW w:w="5460" w:type="dxa"/>
            <w:vAlign w:val="center"/>
          </w:tcPr>
          <w:p w14:paraId="4789DC77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Technika a prevádzka dopravy</w:t>
            </w:r>
          </w:p>
        </w:tc>
      </w:tr>
      <w:tr w:rsidR="00D93BF6" w14:paraId="4789DC7B" w14:textId="77777777">
        <w:trPr>
          <w:trHeight w:val="290"/>
        </w:trPr>
        <w:tc>
          <w:tcPr>
            <w:tcW w:w="3615" w:type="dxa"/>
            <w:vAlign w:val="center"/>
          </w:tcPr>
          <w:p w14:paraId="4789DC79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Študijný odbor</w:t>
            </w:r>
          </w:p>
        </w:tc>
        <w:tc>
          <w:tcPr>
            <w:tcW w:w="5460" w:type="dxa"/>
            <w:vAlign w:val="center"/>
          </w:tcPr>
          <w:p w14:paraId="4789DC7A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3765 M technika a prevádzka dopravy</w:t>
            </w:r>
          </w:p>
        </w:tc>
      </w:tr>
      <w:tr w:rsidR="00D93BF6" w14:paraId="4789DC7E" w14:textId="77777777">
        <w:trPr>
          <w:trHeight w:val="290"/>
        </w:trPr>
        <w:tc>
          <w:tcPr>
            <w:tcW w:w="3615" w:type="dxa"/>
            <w:vAlign w:val="center"/>
          </w:tcPr>
          <w:p w14:paraId="4789DC7C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Stupeň vzdelania</w:t>
            </w:r>
          </w:p>
        </w:tc>
        <w:tc>
          <w:tcPr>
            <w:tcW w:w="5460" w:type="dxa"/>
            <w:vAlign w:val="center"/>
          </w:tcPr>
          <w:p w14:paraId="4789DC7D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 xml:space="preserve">úplne stredné odborné vzdelanie </w:t>
            </w:r>
          </w:p>
        </w:tc>
      </w:tr>
      <w:tr w:rsidR="00D93BF6" w14:paraId="4789DC81" w14:textId="77777777">
        <w:trPr>
          <w:trHeight w:val="290"/>
        </w:trPr>
        <w:tc>
          <w:tcPr>
            <w:tcW w:w="3615" w:type="dxa"/>
            <w:vAlign w:val="center"/>
          </w:tcPr>
          <w:p w14:paraId="4789DC7F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Úroveň SKKR/EKR</w:t>
            </w:r>
          </w:p>
        </w:tc>
        <w:tc>
          <w:tcPr>
            <w:tcW w:w="5460" w:type="dxa"/>
            <w:vAlign w:val="center"/>
          </w:tcPr>
          <w:p w14:paraId="4789DC80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4</w:t>
            </w:r>
          </w:p>
        </w:tc>
      </w:tr>
      <w:tr w:rsidR="00D93BF6" w14:paraId="4789DC84" w14:textId="77777777">
        <w:trPr>
          <w:trHeight w:val="290"/>
        </w:trPr>
        <w:tc>
          <w:tcPr>
            <w:tcW w:w="3615" w:type="dxa"/>
            <w:vAlign w:val="center"/>
          </w:tcPr>
          <w:p w14:paraId="4789DC82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Dĺžka štúdia</w:t>
            </w:r>
          </w:p>
        </w:tc>
        <w:tc>
          <w:tcPr>
            <w:tcW w:w="5460" w:type="dxa"/>
            <w:vAlign w:val="center"/>
          </w:tcPr>
          <w:p w14:paraId="4789DC83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4 roky</w:t>
            </w:r>
          </w:p>
        </w:tc>
      </w:tr>
      <w:tr w:rsidR="00D93BF6" w14:paraId="4789DC87" w14:textId="77777777">
        <w:trPr>
          <w:trHeight w:val="290"/>
        </w:trPr>
        <w:tc>
          <w:tcPr>
            <w:tcW w:w="3615" w:type="dxa"/>
            <w:vAlign w:val="center"/>
          </w:tcPr>
          <w:p w14:paraId="4789DC85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Forma štúdia</w:t>
            </w:r>
          </w:p>
        </w:tc>
        <w:tc>
          <w:tcPr>
            <w:tcW w:w="5460" w:type="dxa"/>
            <w:vAlign w:val="center"/>
          </w:tcPr>
          <w:p w14:paraId="4789DC86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denná</w:t>
            </w:r>
          </w:p>
        </w:tc>
      </w:tr>
      <w:tr w:rsidR="00D93BF6" w14:paraId="4789DC8A" w14:textId="77777777">
        <w:trPr>
          <w:trHeight w:val="290"/>
        </w:trPr>
        <w:tc>
          <w:tcPr>
            <w:tcW w:w="3615" w:type="dxa"/>
            <w:vAlign w:val="center"/>
          </w:tcPr>
          <w:p w14:paraId="4789DC88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Vyučovací jazyk</w:t>
            </w:r>
          </w:p>
        </w:tc>
        <w:tc>
          <w:tcPr>
            <w:tcW w:w="5460" w:type="dxa"/>
            <w:vAlign w:val="center"/>
          </w:tcPr>
          <w:p w14:paraId="4789DC89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slovenský</w:t>
            </w:r>
          </w:p>
        </w:tc>
      </w:tr>
      <w:tr w:rsidR="00D93BF6" w14:paraId="4789DC8D" w14:textId="77777777">
        <w:trPr>
          <w:trHeight w:val="290"/>
        </w:trPr>
        <w:tc>
          <w:tcPr>
            <w:tcW w:w="3615" w:type="dxa"/>
            <w:vAlign w:val="center"/>
          </w:tcPr>
          <w:p w14:paraId="4789DC8B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Platnosť učebných osnov</w:t>
            </w:r>
          </w:p>
        </w:tc>
        <w:tc>
          <w:tcPr>
            <w:tcW w:w="5460" w:type="dxa"/>
            <w:vAlign w:val="center"/>
          </w:tcPr>
          <w:p w14:paraId="4789DC8C" w14:textId="77777777" w:rsidR="00D93BF6" w:rsidRDefault="00575608">
            <w:pPr>
              <w:spacing w:line="360" w:lineRule="auto"/>
              <w:rPr>
                <w:rFonts w:eastAsia="Arial" w:cs="Arial"/>
              </w:rPr>
            </w:pPr>
            <w:r>
              <w:rPr>
                <w:rFonts w:eastAsia="Arial" w:cs="Arial"/>
              </w:rPr>
              <w:t>od 01.09.2025 počnúc 1. ročníkom</w:t>
            </w:r>
          </w:p>
        </w:tc>
      </w:tr>
    </w:tbl>
    <w:p w14:paraId="4789DC8E" w14:textId="77777777" w:rsidR="00D93BF6" w:rsidRDefault="00D93BF6">
      <w:pPr>
        <w:spacing w:after="160" w:line="360" w:lineRule="auto"/>
        <w:jc w:val="center"/>
        <w:rPr>
          <w:b/>
          <w:sz w:val="20"/>
          <w:szCs w:val="20"/>
        </w:rPr>
      </w:pPr>
    </w:p>
    <w:p w14:paraId="4789DC8F" w14:textId="77777777" w:rsidR="00D93BF6" w:rsidRDefault="00D93BF6">
      <w:pPr>
        <w:rPr>
          <w:rFonts w:ascii="Times New Roman" w:hAnsi="Times New Roman"/>
          <w:b/>
          <w:u w:val="single"/>
        </w:rPr>
      </w:pPr>
    </w:p>
    <w:p w14:paraId="4789DC90" w14:textId="77777777" w:rsidR="00D93BF6" w:rsidRDefault="00575608" w:rsidP="00575608">
      <w:pPr>
        <w:shd w:val="clear" w:color="auto" w:fill="D9D9D9" w:themeFill="background1" w:themeFillShade="D9"/>
        <w:spacing w:after="160"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Charakteristika vyučovacieho predmetu</w:t>
      </w:r>
    </w:p>
    <w:p w14:paraId="4789DC91" w14:textId="77777777" w:rsidR="00D93BF6" w:rsidRDefault="00D93BF6">
      <w:pPr>
        <w:spacing w:line="360" w:lineRule="auto"/>
        <w:jc w:val="both"/>
        <w:rPr>
          <w:sz w:val="20"/>
          <w:szCs w:val="20"/>
        </w:rPr>
      </w:pPr>
    </w:p>
    <w:p w14:paraId="4789DC92" w14:textId="226552AC" w:rsidR="00D93BF6" w:rsidRDefault="00575608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Učivo predmetu poskytuje žiakom základné vedomosti o postavení, úlohe a vlastnostiach jednotlivých druhov dopráv z hľadiska manipulácie. Žiak získa základné informácie z manipulačnej terminológie a dopravných zariadeniach, naučí sa základom logistiky.  Oboznámi sa s charakteristikou dopravného procesu, s vývojom dopravnej sústavy ako celku, s možnosťami vzájomnej spolupráce viacerých druhov dopráv. Súčasťou obsahu učiva sú aj základné vedomosti o zariadeniach používaných pri manipulácii s materiálom. Žiaci </w:t>
      </w:r>
      <w:r>
        <w:rPr>
          <w:sz w:val="20"/>
          <w:szCs w:val="20"/>
        </w:rPr>
        <w:t>získajú prehľad o najpoužívanejších mechanizačných prostriedkoch, ich technických parametroch, prevádzke a  údržbe, oboznámia sa s bezpečnostnými predpismi pri manipulácii s materiálom. Učivo prispieva k systémovému chápaniu jednotlivých druhov dopráv v rámci dopravnej sústavy, ako aj k pochopeniu nevyhnutnosti využívania mechanizačných zariadení v doprave, zároveň dopĺňa  štúdium profilových predmetov odboru.  Predmet nadväzuje na vedomosti získané na predmetoch cestné vozidlá, cestná doprava a prax. V jed</w:t>
      </w:r>
      <w:r>
        <w:rPr>
          <w:sz w:val="20"/>
          <w:szCs w:val="20"/>
        </w:rPr>
        <w:t>notlivých témach  sa  prehlbuje  technické myslenie žiakov, dbá sa na správnu terminoló</w:t>
      </w:r>
      <w:r>
        <w:rPr>
          <w:sz w:val="20"/>
          <w:szCs w:val="20"/>
        </w:rPr>
        <w:t>giu, zohľadňuje sa ekologická problematika.</w:t>
      </w:r>
    </w:p>
    <w:p w14:paraId="4789DC93" w14:textId="77777777" w:rsidR="00D93BF6" w:rsidRDefault="00575608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 hodinách sa využívajú frontálne a individuálne formy, projektové úlohy sa riešia skupinovou formou vyučovania. V rámci vyučovacieho predmetu sa používajú rôzne vyučovacie stratégie, motivačný rozhovor, výklad, problémové vyučovanie, prípadové štúdie. Pri diagnostikovaní a klasifikácii sa využíva </w:t>
      </w:r>
      <w:r>
        <w:rPr>
          <w:sz w:val="20"/>
          <w:szCs w:val="20"/>
        </w:rPr>
        <w:lastRenderedPageBreak/>
        <w:t xml:space="preserve">slovné a  písomné hodnotenie s aktívnym využívaním digitálnych technológií. Predmet sa vyučuje v odbornej učebni, ktorá je vybavená  didaktickou technikou a názornými pomôckami. Pre lepšie pochopenie preberanej problematiky sa využívajú odborné exkurzie. </w:t>
      </w:r>
    </w:p>
    <w:p w14:paraId="4789DC94" w14:textId="77777777" w:rsidR="00D93BF6" w:rsidRDefault="00D93BF6">
      <w:pPr>
        <w:spacing w:line="360" w:lineRule="auto"/>
        <w:jc w:val="both"/>
        <w:rPr>
          <w:sz w:val="20"/>
          <w:szCs w:val="20"/>
        </w:rPr>
      </w:pPr>
    </w:p>
    <w:p w14:paraId="4789DC95" w14:textId="77777777" w:rsidR="00D93BF6" w:rsidRDefault="00D93BF6">
      <w:pPr>
        <w:spacing w:line="360" w:lineRule="auto"/>
        <w:ind w:firstLine="567"/>
        <w:jc w:val="both"/>
        <w:rPr>
          <w:strike/>
          <w:sz w:val="20"/>
          <w:szCs w:val="20"/>
        </w:rPr>
      </w:pPr>
    </w:p>
    <w:sdt>
      <w:sdtPr>
        <w:tag w:val="goog_rdk_0"/>
        <w:id w:val="551953231"/>
        <w:lock w:val="contentLocked"/>
      </w:sdtPr>
      <w:sdtEndPr/>
      <w:sdtContent>
        <w:tbl>
          <w:tblPr>
            <w:tblStyle w:val="a9"/>
            <w:tblW w:w="9024" w:type="dxa"/>
            <w:tblInd w:w="5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6894"/>
            <w:gridCol w:w="2130"/>
          </w:tblGrid>
          <w:tr w:rsidR="00D93BF6" w14:paraId="4789DC97" w14:textId="77777777">
            <w:trPr>
              <w:trHeight w:val="720"/>
            </w:trPr>
            <w:tc>
              <w:tcPr>
                <w:tcW w:w="9024" w:type="dxa"/>
                <w:gridSpan w:val="2"/>
                <w:vAlign w:val="center"/>
              </w:tcPr>
              <w:p w14:paraId="4789DC96" w14:textId="77777777" w:rsidR="00D93BF6" w:rsidRDefault="00575608">
                <w:pPr>
                  <w:jc w:val="center"/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</w:rPr>
                  <w:tab/>
                </w:r>
                <w:r>
                  <w:rPr>
                    <w:rFonts w:eastAsia="Arial" w:cs="Arial"/>
                    <w:b/>
                  </w:rPr>
                  <w:t>Rámcový rozpis učiva</w:t>
                </w:r>
              </w:p>
            </w:tc>
          </w:tr>
          <w:tr w:rsidR="00D93BF6" w14:paraId="4789DC9A" w14:textId="77777777">
            <w:trPr>
              <w:trHeight w:val="310"/>
            </w:trPr>
            <w:tc>
              <w:tcPr>
                <w:tcW w:w="6894" w:type="dxa"/>
                <w:shd w:val="clear" w:color="auto" w:fill="D9E2F3"/>
                <w:vAlign w:val="bottom"/>
              </w:tcPr>
              <w:p w14:paraId="4789DC98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3. ročník</w:t>
                </w:r>
              </w:p>
            </w:tc>
            <w:tc>
              <w:tcPr>
                <w:tcW w:w="2130" w:type="dxa"/>
                <w:shd w:val="clear" w:color="auto" w:fill="D9E2F3"/>
                <w:vAlign w:val="bottom"/>
              </w:tcPr>
              <w:p w14:paraId="4789DC99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66 hodín spolu</w:t>
                </w:r>
              </w:p>
            </w:tc>
          </w:tr>
          <w:tr w:rsidR="00D93BF6" w14:paraId="4789DC9D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9B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 xml:space="preserve">DOPRAVNÁ SÚSTAVA </w:t>
                </w:r>
              </w:p>
            </w:tc>
            <w:tc>
              <w:tcPr>
                <w:tcW w:w="2130" w:type="dxa"/>
                <w:vAlign w:val="bottom"/>
              </w:tcPr>
              <w:p w14:paraId="4789DC9C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14 hodín</w:t>
                </w:r>
              </w:p>
            </w:tc>
          </w:tr>
          <w:tr w:rsidR="00D93BF6" w14:paraId="4789DCA0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9E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Členenie dopravy, základné pojmy</w:t>
                </w:r>
              </w:p>
            </w:tc>
            <w:tc>
              <w:tcPr>
                <w:tcW w:w="2130" w:type="dxa"/>
                <w:vAlign w:val="bottom"/>
              </w:tcPr>
              <w:p w14:paraId="4789DC9F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A3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A1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 xml:space="preserve">Manipulačné zariadenia na cestných vozidlách </w:t>
                </w:r>
              </w:p>
            </w:tc>
            <w:tc>
              <w:tcPr>
                <w:tcW w:w="2130" w:type="dxa"/>
                <w:vAlign w:val="bottom"/>
              </w:tcPr>
              <w:p w14:paraId="4789DCA2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A6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A4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Špeciálne automobily</w:t>
                </w:r>
              </w:p>
            </w:tc>
            <w:tc>
              <w:tcPr>
                <w:tcW w:w="2130" w:type="dxa"/>
                <w:vAlign w:val="bottom"/>
              </w:tcPr>
              <w:p w14:paraId="4789DCA5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A9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A7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Podmienky prepravy nákladov, upevňovanie nákladov</w:t>
                </w:r>
              </w:p>
            </w:tc>
            <w:tc>
              <w:tcPr>
                <w:tcW w:w="2130" w:type="dxa"/>
                <w:vAlign w:val="bottom"/>
              </w:tcPr>
              <w:p w14:paraId="4789DCA8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AC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AA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Manipulácia v železničnej doprave</w:t>
                </w:r>
              </w:p>
            </w:tc>
            <w:tc>
              <w:tcPr>
                <w:tcW w:w="2130" w:type="dxa"/>
                <w:vAlign w:val="bottom"/>
              </w:tcPr>
              <w:p w14:paraId="4789DCAB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AF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AD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Manipulácia vo vodnej doprave</w:t>
                </w:r>
              </w:p>
            </w:tc>
            <w:tc>
              <w:tcPr>
                <w:tcW w:w="2130" w:type="dxa"/>
                <w:vAlign w:val="bottom"/>
              </w:tcPr>
              <w:p w14:paraId="4789DCAE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B2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B0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Manipulácia v leteckej doprave</w:t>
                </w:r>
              </w:p>
            </w:tc>
            <w:tc>
              <w:tcPr>
                <w:tcW w:w="2130" w:type="dxa"/>
                <w:vAlign w:val="bottom"/>
              </w:tcPr>
              <w:p w14:paraId="4789DCB1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B5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B3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Multimodálna a intermodálna doprava</w:t>
                </w:r>
              </w:p>
            </w:tc>
            <w:tc>
              <w:tcPr>
                <w:tcW w:w="2130" w:type="dxa"/>
                <w:vAlign w:val="bottom"/>
              </w:tcPr>
              <w:p w14:paraId="4789DCB4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B8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B6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Nákladové jednotky kombinovanej dopravy</w:t>
                </w:r>
              </w:p>
            </w:tc>
            <w:tc>
              <w:tcPr>
                <w:tcW w:w="2130" w:type="dxa"/>
                <w:vAlign w:val="bottom"/>
              </w:tcPr>
              <w:p w14:paraId="4789DCB7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BB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B9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Voľba dopravných prostriedkov</w:t>
                </w:r>
              </w:p>
            </w:tc>
            <w:tc>
              <w:tcPr>
                <w:tcW w:w="2130" w:type="dxa"/>
                <w:vAlign w:val="bottom"/>
              </w:tcPr>
              <w:p w14:paraId="4789DCBA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BE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BC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Energetická náročnosť dopravy, vplyv na životné prostredie</w:t>
                </w:r>
              </w:p>
            </w:tc>
            <w:tc>
              <w:tcPr>
                <w:tcW w:w="2130" w:type="dxa"/>
                <w:vAlign w:val="bottom"/>
              </w:tcPr>
              <w:p w14:paraId="4789DCBD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C1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BF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 xml:space="preserve">MANIPULÁCIA S MATERIÁLOM </w:t>
                </w:r>
              </w:p>
            </w:tc>
            <w:tc>
              <w:tcPr>
                <w:tcW w:w="2130" w:type="dxa"/>
                <w:vAlign w:val="bottom"/>
              </w:tcPr>
              <w:p w14:paraId="4789DCC0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7 hodín</w:t>
                </w:r>
              </w:p>
            </w:tc>
          </w:tr>
          <w:tr w:rsidR="00D93BF6" w14:paraId="4789DCC4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C2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Základné pojmy manipulácie</w:t>
                </w:r>
              </w:p>
            </w:tc>
            <w:tc>
              <w:tcPr>
                <w:tcW w:w="2130" w:type="dxa"/>
                <w:vAlign w:val="bottom"/>
              </w:tcPr>
              <w:p w14:paraId="4789DCC3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CC7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C5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Členenie manipulácie s tovarom</w:t>
                </w:r>
              </w:p>
            </w:tc>
            <w:tc>
              <w:tcPr>
                <w:tcW w:w="2130" w:type="dxa"/>
                <w:vAlign w:val="bottom"/>
              </w:tcPr>
              <w:p w14:paraId="4789DCC6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CCA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C8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Vlastnosti predmetov a materiálov z hľadiska manipulácie</w:t>
                </w:r>
              </w:p>
            </w:tc>
            <w:tc>
              <w:tcPr>
                <w:tcW w:w="2130" w:type="dxa"/>
                <w:vAlign w:val="bottom"/>
              </w:tcPr>
              <w:p w14:paraId="4789DCC9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CCD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CB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Základné oblasti manipulácie s tovarom</w:t>
                </w:r>
              </w:p>
            </w:tc>
            <w:tc>
              <w:tcPr>
                <w:tcW w:w="2130" w:type="dxa"/>
                <w:vAlign w:val="bottom"/>
              </w:tcPr>
              <w:p w14:paraId="4789DCCC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CD0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CE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 xml:space="preserve">Výber mechanizačného zariadenia </w:t>
                </w:r>
              </w:p>
            </w:tc>
            <w:tc>
              <w:tcPr>
                <w:tcW w:w="2130" w:type="dxa"/>
                <w:vAlign w:val="bottom"/>
              </w:tcPr>
              <w:p w14:paraId="4789DCCF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CD3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D1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OBALOVÉ HOSPODÁRSTVO</w:t>
                </w:r>
              </w:p>
            </w:tc>
            <w:tc>
              <w:tcPr>
                <w:tcW w:w="2130" w:type="dxa"/>
                <w:vAlign w:val="bottom"/>
              </w:tcPr>
              <w:p w14:paraId="4789DCD2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7 hodín</w:t>
                </w:r>
              </w:p>
            </w:tc>
          </w:tr>
          <w:tr w:rsidR="00D93BF6" w14:paraId="4789DCD6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D4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Význam balenia, funkcie obalu</w:t>
                </w:r>
              </w:p>
            </w:tc>
            <w:tc>
              <w:tcPr>
                <w:tcW w:w="2130" w:type="dxa"/>
                <w:vAlign w:val="bottom"/>
              </w:tcPr>
              <w:p w14:paraId="4789DCD5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CD9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D7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Rozdelenie obalov, voľba obalu</w:t>
                </w:r>
              </w:p>
            </w:tc>
            <w:tc>
              <w:tcPr>
                <w:tcW w:w="2130" w:type="dxa"/>
                <w:vAlign w:val="bottom"/>
              </w:tcPr>
              <w:p w14:paraId="4789DCD8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CDC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DA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Spôsoby balenia</w:t>
                </w:r>
              </w:p>
            </w:tc>
            <w:tc>
              <w:tcPr>
                <w:tcW w:w="2130" w:type="dxa"/>
                <w:vAlign w:val="bottom"/>
              </w:tcPr>
              <w:p w14:paraId="4789DCDB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CDF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DD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 xml:space="preserve">Odpad a jeho separácia </w:t>
                </w:r>
              </w:p>
            </w:tc>
            <w:tc>
              <w:tcPr>
                <w:tcW w:w="2130" w:type="dxa"/>
                <w:vAlign w:val="bottom"/>
              </w:tcPr>
              <w:p w14:paraId="4789DCDE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CE2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E0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Metódy zneškodňovania odpadov</w:t>
                </w:r>
              </w:p>
            </w:tc>
            <w:tc>
              <w:tcPr>
                <w:tcW w:w="2130" w:type="dxa"/>
                <w:vAlign w:val="bottom"/>
              </w:tcPr>
              <w:p w14:paraId="4789DCE1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CE5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E3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Manipulačné jednotky a prepravné prostriedky</w:t>
                </w:r>
              </w:p>
            </w:tc>
            <w:tc>
              <w:tcPr>
                <w:tcW w:w="2130" w:type="dxa"/>
                <w:vAlign w:val="bottom"/>
              </w:tcPr>
              <w:p w14:paraId="4789DCE4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7 hodín</w:t>
                </w:r>
              </w:p>
            </w:tc>
          </w:tr>
          <w:tr w:rsidR="00D93BF6" w14:paraId="4789DCE8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E6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</w:rPr>
                  <w:t xml:space="preserve">Typy manipulačných jednotiek </w:t>
                </w:r>
              </w:p>
            </w:tc>
            <w:tc>
              <w:tcPr>
                <w:tcW w:w="2130" w:type="dxa"/>
                <w:vAlign w:val="bottom"/>
              </w:tcPr>
              <w:p w14:paraId="4789DCE7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EB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E9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</w:rPr>
                  <w:t>Funkcia a typy paliet</w:t>
                </w:r>
              </w:p>
            </w:tc>
            <w:tc>
              <w:tcPr>
                <w:tcW w:w="2130" w:type="dxa"/>
                <w:vAlign w:val="bottom"/>
              </w:tcPr>
              <w:p w14:paraId="4789DCEA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EE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EC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Pravidlá paletizácie</w:t>
                </w:r>
              </w:p>
            </w:tc>
            <w:tc>
              <w:tcPr>
                <w:tcW w:w="2130" w:type="dxa"/>
                <w:vAlign w:val="bottom"/>
              </w:tcPr>
              <w:p w14:paraId="4789DCED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F1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EF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</w:rPr>
                  <w:t>Typy kontajnerov</w:t>
                </w:r>
              </w:p>
            </w:tc>
            <w:tc>
              <w:tcPr>
                <w:tcW w:w="2130" w:type="dxa"/>
                <w:vAlign w:val="bottom"/>
              </w:tcPr>
              <w:p w14:paraId="4789DCF0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F4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F2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Označenie kontajnerov</w:t>
                </w:r>
              </w:p>
            </w:tc>
            <w:tc>
              <w:tcPr>
                <w:tcW w:w="2130" w:type="dxa"/>
                <w:vAlign w:val="bottom"/>
              </w:tcPr>
              <w:p w14:paraId="4789DCF3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F7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F5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Logistika</w:t>
                </w:r>
              </w:p>
            </w:tc>
            <w:tc>
              <w:tcPr>
                <w:tcW w:w="2130" w:type="dxa"/>
                <w:vAlign w:val="bottom"/>
              </w:tcPr>
              <w:p w14:paraId="4789DCF6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12 hodín</w:t>
                </w:r>
              </w:p>
            </w:tc>
          </w:tr>
          <w:tr w:rsidR="00D93BF6" w14:paraId="4789DCFA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F8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Úloha logistiky, základné pojmy</w:t>
                </w:r>
              </w:p>
            </w:tc>
            <w:tc>
              <w:tcPr>
                <w:tcW w:w="2130" w:type="dxa"/>
                <w:vAlign w:val="bottom"/>
              </w:tcPr>
              <w:p w14:paraId="4789DCF9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CFD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FB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Druhy logistiky, logistické toky</w:t>
                </w:r>
              </w:p>
            </w:tc>
            <w:tc>
              <w:tcPr>
                <w:tcW w:w="2130" w:type="dxa"/>
                <w:vAlign w:val="bottom"/>
              </w:tcPr>
              <w:p w14:paraId="4789DCFC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D00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CFE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Aktívne a pasívne prvky logistiky</w:t>
                </w:r>
              </w:p>
            </w:tc>
            <w:tc>
              <w:tcPr>
                <w:tcW w:w="2130" w:type="dxa"/>
                <w:vAlign w:val="bottom"/>
              </w:tcPr>
              <w:p w14:paraId="4789DCFF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D03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01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Logistický manažment , logistické činnosti</w:t>
                </w:r>
              </w:p>
            </w:tc>
            <w:tc>
              <w:tcPr>
                <w:tcW w:w="2130" w:type="dxa"/>
                <w:vAlign w:val="bottom"/>
              </w:tcPr>
              <w:p w14:paraId="4789DD02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D06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04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lastRenderedPageBreak/>
                  <w:t>Outsourcing a insourcing</w:t>
                </w:r>
              </w:p>
            </w:tc>
            <w:tc>
              <w:tcPr>
                <w:tcW w:w="2130" w:type="dxa"/>
                <w:vAlign w:val="bottom"/>
              </w:tcPr>
              <w:p w14:paraId="4789DD05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D09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07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Logistické technológie, reťazce a ich riadenie</w:t>
                </w:r>
              </w:p>
            </w:tc>
            <w:tc>
              <w:tcPr>
                <w:tcW w:w="2130" w:type="dxa"/>
                <w:vAlign w:val="bottom"/>
              </w:tcPr>
              <w:p w14:paraId="4789DD08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D0C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0A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Riadenie logistického reťazca vo fáze vývoja výrobku</w:t>
                </w:r>
              </w:p>
            </w:tc>
            <w:tc>
              <w:tcPr>
                <w:tcW w:w="2130" w:type="dxa"/>
                <w:vAlign w:val="bottom"/>
              </w:tcPr>
              <w:p w14:paraId="4789DD0B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D0F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0D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Logistika a zasielateľstvo</w:t>
                </w:r>
              </w:p>
            </w:tc>
            <w:tc>
              <w:tcPr>
                <w:tcW w:w="2130" w:type="dxa"/>
                <w:vAlign w:val="bottom"/>
              </w:tcPr>
              <w:p w14:paraId="4789DD0E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D12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10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SKLADOVANIE</w:t>
                </w:r>
              </w:p>
            </w:tc>
            <w:tc>
              <w:tcPr>
                <w:tcW w:w="2130" w:type="dxa"/>
                <w:vAlign w:val="bottom"/>
              </w:tcPr>
              <w:p w14:paraId="4789DD11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14 hodín</w:t>
                </w:r>
              </w:p>
            </w:tc>
          </w:tr>
          <w:tr w:rsidR="00D93BF6" w14:paraId="4789DD15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13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Funkcie skladovania</w:t>
                </w:r>
              </w:p>
            </w:tc>
            <w:tc>
              <w:tcPr>
                <w:tcW w:w="2130" w:type="dxa"/>
                <w:vAlign w:val="bottom"/>
              </w:tcPr>
              <w:p w14:paraId="4789DD14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18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16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Druhy skladov</w:t>
                </w:r>
              </w:p>
            </w:tc>
            <w:tc>
              <w:tcPr>
                <w:tcW w:w="2130" w:type="dxa"/>
                <w:vAlign w:val="bottom"/>
              </w:tcPr>
              <w:p w14:paraId="4789DD17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1B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19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Rozmiestnenie skladov</w:t>
                </w:r>
              </w:p>
            </w:tc>
            <w:tc>
              <w:tcPr>
                <w:tcW w:w="2130" w:type="dxa"/>
                <w:vAlign w:val="bottom"/>
              </w:tcPr>
              <w:p w14:paraId="4789DD1A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1E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1C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Priebeh skladovacieho procesu</w:t>
                </w:r>
              </w:p>
            </w:tc>
            <w:tc>
              <w:tcPr>
                <w:tcW w:w="2130" w:type="dxa"/>
                <w:vAlign w:val="bottom"/>
              </w:tcPr>
              <w:p w14:paraId="4789DD1D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21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1F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Metódy riadenia zásob</w:t>
                </w:r>
              </w:p>
            </w:tc>
            <w:tc>
              <w:tcPr>
                <w:tcW w:w="2130" w:type="dxa"/>
                <w:vAlign w:val="bottom"/>
              </w:tcPr>
              <w:p w14:paraId="4789DD20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24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22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Metóda ABC , riešenie prípadových štúdií</w:t>
                </w:r>
              </w:p>
            </w:tc>
            <w:tc>
              <w:tcPr>
                <w:tcW w:w="2130" w:type="dxa"/>
                <w:vAlign w:val="bottom"/>
              </w:tcPr>
              <w:p w14:paraId="4789DD23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27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25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Všeobecné skladovacie podmienky</w:t>
                </w:r>
              </w:p>
            </w:tc>
            <w:tc>
              <w:tcPr>
                <w:tcW w:w="2130" w:type="dxa"/>
                <w:vAlign w:val="bottom"/>
              </w:tcPr>
              <w:p w14:paraId="4789DD26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2A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28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Zmluva o skladovaní</w:t>
                </w:r>
              </w:p>
            </w:tc>
            <w:tc>
              <w:tcPr>
                <w:tcW w:w="2130" w:type="dxa"/>
                <w:vAlign w:val="bottom"/>
              </w:tcPr>
              <w:p w14:paraId="4789DD29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2D" w14:textId="77777777">
            <w:trPr>
              <w:trHeight w:val="135"/>
            </w:trPr>
            <w:tc>
              <w:tcPr>
                <w:tcW w:w="6894" w:type="dxa"/>
                <w:vAlign w:val="bottom"/>
              </w:tcPr>
              <w:p w14:paraId="4789DD2B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Identifikácia tovaru, informatizácia v sklade</w:t>
                </w:r>
              </w:p>
            </w:tc>
            <w:tc>
              <w:tcPr>
                <w:tcW w:w="2130" w:type="dxa"/>
                <w:vAlign w:val="bottom"/>
              </w:tcPr>
              <w:p w14:paraId="4789DD2C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30" w14:textId="77777777">
            <w:trPr>
              <w:trHeight w:val="135"/>
            </w:trPr>
            <w:tc>
              <w:tcPr>
                <w:tcW w:w="6894" w:type="dxa"/>
                <w:vAlign w:val="bottom"/>
              </w:tcPr>
              <w:p w14:paraId="4789DD2E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Technické prostriedky skladového hospodárstva</w:t>
                </w:r>
              </w:p>
            </w:tc>
            <w:tc>
              <w:tcPr>
                <w:tcW w:w="2130" w:type="dxa"/>
                <w:vAlign w:val="bottom"/>
              </w:tcPr>
              <w:p w14:paraId="4789DD2F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33" w14:textId="77777777">
            <w:trPr>
              <w:trHeight w:val="135"/>
            </w:trPr>
            <w:tc>
              <w:tcPr>
                <w:tcW w:w="6894" w:type="dxa"/>
                <w:vAlign w:val="bottom"/>
              </w:tcPr>
              <w:p w14:paraId="4789DD31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Dopravné vozíky</w:t>
                </w:r>
              </w:p>
            </w:tc>
            <w:tc>
              <w:tcPr>
                <w:tcW w:w="2130" w:type="dxa"/>
                <w:vAlign w:val="bottom"/>
              </w:tcPr>
              <w:p w14:paraId="4789DD32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5 hodín</w:t>
                </w:r>
              </w:p>
            </w:tc>
          </w:tr>
          <w:tr w:rsidR="00D93BF6" w14:paraId="4789DD36" w14:textId="77777777">
            <w:trPr>
              <w:trHeight w:val="135"/>
            </w:trPr>
            <w:tc>
              <w:tcPr>
                <w:tcW w:w="6894" w:type="dxa"/>
                <w:vAlign w:val="bottom"/>
              </w:tcPr>
              <w:p w14:paraId="4789DD34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Delenie dopravných vozíkov</w:t>
                </w:r>
              </w:p>
            </w:tc>
            <w:tc>
              <w:tcPr>
                <w:tcW w:w="2130" w:type="dxa"/>
                <w:vAlign w:val="bottom"/>
              </w:tcPr>
              <w:p w14:paraId="4789DD35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39" w14:textId="77777777">
            <w:trPr>
              <w:trHeight w:val="135"/>
            </w:trPr>
            <w:tc>
              <w:tcPr>
                <w:tcW w:w="6894" w:type="dxa"/>
                <w:vAlign w:val="bottom"/>
              </w:tcPr>
              <w:p w14:paraId="4789DD37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Bezmotorové dopravné vozíky</w:t>
                </w:r>
              </w:p>
            </w:tc>
            <w:tc>
              <w:tcPr>
                <w:tcW w:w="2130" w:type="dxa"/>
                <w:vAlign w:val="bottom"/>
              </w:tcPr>
              <w:p w14:paraId="4789DD38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3C" w14:textId="77777777">
            <w:trPr>
              <w:trHeight w:val="135"/>
            </w:trPr>
            <w:tc>
              <w:tcPr>
                <w:tcW w:w="6894" w:type="dxa"/>
                <w:vAlign w:val="bottom"/>
              </w:tcPr>
              <w:p w14:paraId="4789DD3A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Motorové dopravné vozíky</w:t>
                </w:r>
              </w:p>
            </w:tc>
            <w:tc>
              <w:tcPr>
                <w:tcW w:w="2130" w:type="dxa"/>
                <w:vAlign w:val="bottom"/>
              </w:tcPr>
              <w:p w14:paraId="4789DD3B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3F" w14:textId="77777777">
            <w:trPr>
              <w:trHeight w:val="290"/>
            </w:trPr>
            <w:tc>
              <w:tcPr>
                <w:tcW w:w="6894" w:type="dxa"/>
                <w:shd w:val="clear" w:color="auto" w:fill="D9E2F3"/>
                <w:vAlign w:val="bottom"/>
              </w:tcPr>
              <w:p w14:paraId="4789DD3D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4. ročník</w:t>
                </w:r>
              </w:p>
            </w:tc>
            <w:tc>
              <w:tcPr>
                <w:tcW w:w="2130" w:type="dxa"/>
                <w:shd w:val="clear" w:color="auto" w:fill="D9E2F3"/>
                <w:vAlign w:val="bottom"/>
              </w:tcPr>
              <w:p w14:paraId="4789DD3E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30 hodín spolu</w:t>
                </w:r>
              </w:p>
            </w:tc>
          </w:tr>
          <w:tr w:rsidR="00D93BF6" w14:paraId="4789DD42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40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NAKLADACIE,  PREKLADACIE A VYKLADACIE ZARIADENIA</w:t>
                </w:r>
              </w:p>
            </w:tc>
            <w:tc>
              <w:tcPr>
                <w:tcW w:w="2130" w:type="dxa"/>
                <w:vAlign w:val="bottom"/>
              </w:tcPr>
              <w:p w14:paraId="4789DD41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12 hodín</w:t>
                </w:r>
              </w:p>
            </w:tc>
          </w:tr>
          <w:tr w:rsidR="00D93BF6" w14:paraId="4789DD45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43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Pásové dopravníky</w:t>
                </w:r>
              </w:p>
            </w:tc>
            <w:tc>
              <w:tcPr>
                <w:tcW w:w="2130" w:type="dxa"/>
                <w:vAlign w:val="bottom"/>
              </w:tcPr>
              <w:p w14:paraId="4789DD44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D48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46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Článkové dopravníky</w:t>
                </w:r>
              </w:p>
            </w:tc>
            <w:tc>
              <w:tcPr>
                <w:tcW w:w="2130" w:type="dxa"/>
                <w:vAlign w:val="bottom"/>
              </w:tcPr>
              <w:p w14:paraId="4789DD47" w14:textId="77777777" w:rsidR="00D93BF6" w:rsidRDefault="00D93BF6">
                <w:pPr>
                  <w:rPr>
                    <w:rFonts w:eastAsia="Arial" w:cs="Arial"/>
                    <w:b/>
                  </w:rPr>
                </w:pPr>
              </w:p>
            </w:tc>
          </w:tr>
          <w:tr w:rsidR="00D93BF6" w14:paraId="4789DD4B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49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Elevátory</w:t>
                </w:r>
              </w:p>
            </w:tc>
            <w:tc>
              <w:tcPr>
                <w:tcW w:w="2130" w:type="dxa"/>
                <w:vAlign w:val="bottom"/>
              </w:tcPr>
              <w:p w14:paraId="4789DD4A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4E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4C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Závitovkové dopravníky</w:t>
                </w:r>
              </w:p>
            </w:tc>
            <w:tc>
              <w:tcPr>
                <w:tcW w:w="2130" w:type="dxa"/>
                <w:vAlign w:val="bottom"/>
              </w:tcPr>
              <w:p w14:paraId="4789DD4D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51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4F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Vibračné dopravníky</w:t>
                </w:r>
              </w:p>
            </w:tc>
            <w:tc>
              <w:tcPr>
                <w:tcW w:w="2130" w:type="dxa"/>
                <w:vAlign w:val="bottom"/>
              </w:tcPr>
              <w:p w14:paraId="4789DD50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54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52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Valčekové trate</w:t>
                </w:r>
              </w:p>
            </w:tc>
            <w:tc>
              <w:tcPr>
                <w:tcW w:w="2130" w:type="dxa"/>
                <w:vAlign w:val="bottom"/>
              </w:tcPr>
              <w:p w14:paraId="4789DD53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57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55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Pneumatická doprava</w:t>
                </w:r>
              </w:p>
            </w:tc>
            <w:tc>
              <w:tcPr>
                <w:tcW w:w="2130" w:type="dxa"/>
                <w:vAlign w:val="bottom"/>
              </w:tcPr>
              <w:p w14:paraId="4789DD56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5A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58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Hydraulická doprava</w:t>
                </w:r>
              </w:p>
            </w:tc>
            <w:tc>
              <w:tcPr>
                <w:tcW w:w="2130" w:type="dxa"/>
                <w:vAlign w:val="bottom"/>
              </w:tcPr>
              <w:p w14:paraId="4789DD59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5D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5B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Pozemné dopravné systémy</w:t>
                </w:r>
              </w:p>
            </w:tc>
            <w:tc>
              <w:tcPr>
                <w:tcW w:w="2130" w:type="dxa"/>
                <w:vAlign w:val="bottom"/>
              </w:tcPr>
              <w:p w14:paraId="4789DD5C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60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5E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  <w:b/>
                  </w:rPr>
                  <w:t>Zdvíhacie zariadenia</w:t>
                </w:r>
              </w:p>
            </w:tc>
            <w:tc>
              <w:tcPr>
                <w:tcW w:w="2130" w:type="dxa"/>
                <w:vAlign w:val="bottom"/>
              </w:tcPr>
              <w:p w14:paraId="4789DD5F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5 hodín</w:t>
                </w:r>
              </w:p>
            </w:tc>
          </w:tr>
          <w:tr w:rsidR="00D93BF6" w14:paraId="4789DD63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61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Zdviháky, kladkostroje</w:t>
                </w:r>
              </w:p>
            </w:tc>
            <w:tc>
              <w:tcPr>
                <w:tcW w:w="2130" w:type="dxa"/>
                <w:vAlign w:val="bottom"/>
              </w:tcPr>
              <w:p w14:paraId="4789DD62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66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64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Navíjadlá, výťahy</w:t>
                </w:r>
              </w:p>
            </w:tc>
            <w:tc>
              <w:tcPr>
                <w:tcW w:w="2130" w:type="dxa"/>
                <w:vAlign w:val="bottom"/>
              </w:tcPr>
              <w:p w14:paraId="4789DD65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69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67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Žeriavy</w:t>
                </w:r>
              </w:p>
            </w:tc>
            <w:tc>
              <w:tcPr>
                <w:tcW w:w="2130" w:type="dxa"/>
                <w:vAlign w:val="bottom"/>
              </w:tcPr>
              <w:p w14:paraId="4789DD68" w14:textId="77777777" w:rsidR="00D93BF6" w:rsidRDefault="00575608">
                <w:pPr>
                  <w:rPr>
                    <w:rFonts w:eastAsia="Arial" w:cs="Arial"/>
                    <w:b/>
                  </w:rPr>
                </w:pPr>
                <w:r>
                  <w:rPr>
                    <w:rFonts w:eastAsia="Arial" w:cs="Arial"/>
                    <w:b/>
                  </w:rPr>
                  <w:t>13 hodín</w:t>
                </w:r>
              </w:p>
            </w:tc>
          </w:tr>
          <w:tr w:rsidR="00D93BF6" w14:paraId="4789DD6C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6A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Žeriavy viazané na pevnú žeriavovú dráhu</w:t>
                </w:r>
              </w:p>
            </w:tc>
            <w:tc>
              <w:tcPr>
                <w:tcW w:w="2130" w:type="dxa"/>
                <w:vAlign w:val="bottom"/>
              </w:tcPr>
              <w:p w14:paraId="4789DD6B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6F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6D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Žeriavy viazané na dopravnú cestu</w:t>
                </w:r>
              </w:p>
            </w:tc>
            <w:tc>
              <w:tcPr>
                <w:tcW w:w="2130" w:type="dxa"/>
                <w:vAlign w:val="bottom"/>
              </w:tcPr>
              <w:p w14:paraId="4789DD6E" w14:textId="77777777" w:rsidR="00D93BF6" w:rsidRDefault="00D93BF6">
                <w:pPr>
                  <w:rPr>
                    <w:rFonts w:eastAsia="Arial" w:cs="Arial"/>
                  </w:rPr>
                </w:pPr>
              </w:p>
            </w:tc>
          </w:tr>
          <w:tr w:rsidR="00D93BF6" w14:paraId="4789DD72" w14:textId="77777777">
            <w:trPr>
              <w:trHeight w:val="290"/>
            </w:trPr>
            <w:tc>
              <w:tcPr>
                <w:tcW w:w="6894" w:type="dxa"/>
                <w:vAlign w:val="bottom"/>
              </w:tcPr>
              <w:p w14:paraId="4789DD70" w14:textId="77777777" w:rsidR="00D93BF6" w:rsidRDefault="00575608">
                <w:pPr>
                  <w:rPr>
                    <w:rFonts w:eastAsia="Arial" w:cs="Arial"/>
                  </w:rPr>
                </w:pPr>
                <w:r>
                  <w:rPr>
                    <w:rFonts w:eastAsia="Arial" w:cs="Arial"/>
                  </w:rPr>
                  <w:t>Prostriedky na uchopenie bremena</w:t>
                </w:r>
              </w:p>
            </w:tc>
            <w:tc>
              <w:tcPr>
                <w:tcW w:w="2130" w:type="dxa"/>
                <w:vAlign w:val="bottom"/>
              </w:tcPr>
              <w:p w14:paraId="4789DD71" w14:textId="77777777" w:rsidR="00D93BF6" w:rsidRDefault="00575608">
                <w:pPr>
                  <w:rPr>
                    <w:rFonts w:eastAsia="Arial" w:cs="Arial"/>
                  </w:rPr>
                </w:pPr>
              </w:p>
            </w:tc>
          </w:tr>
        </w:tbl>
      </w:sdtContent>
    </w:sdt>
    <w:p w14:paraId="4789DD73" w14:textId="77777777" w:rsidR="00D93BF6" w:rsidRDefault="00D93BF6">
      <w:pPr>
        <w:ind w:firstLine="708"/>
        <w:jc w:val="both"/>
        <w:rPr>
          <w:strike/>
          <w:sz w:val="20"/>
          <w:szCs w:val="20"/>
        </w:rPr>
      </w:pPr>
    </w:p>
    <w:p w14:paraId="4789DD74" w14:textId="77777777" w:rsidR="00D93BF6" w:rsidRDefault="00575608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789DD75" w14:textId="77777777" w:rsidR="00D93BF6" w:rsidRDefault="00575608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4789DD77" w14:textId="00CDDCAE" w:rsidR="00D93BF6" w:rsidRPr="00575608" w:rsidRDefault="00575608" w:rsidP="00575608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Vzdelávací plán schvaľuje predmetová komisia a prerokuje pedagogická rada.</w:t>
      </w:r>
    </w:p>
    <w:sectPr w:rsidR="00D93BF6" w:rsidRPr="00575608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9DD7E" w14:textId="77777777" w:rsidR="00575608" w:rsidRDefault="00575608">
      <w:r>
        <w:separator/>
      </w:r>
    </w:p>
  </w:endnote>
  <w:endnote w:type="continuationSeparator" w:id="0">
    <w:p w14:paraId="4789DD80" w14:textId="77777777" w:rsidR="00575608" w:rsidRDefault="00575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9DD7A" w14:textId="77777777" w:rsidR="00575608" w:rsidRDefault="00575608">
      <w:r>
        <w:separator/>
      </w:r>
    </w:p>
  </w:footnote>
  <w:footnote w:type="continuationSeparator" w:id="0">
    <w:p w14:paraId="4789DD7C" w14:textId="77777777" w:rsidR="00575608" w:rsidRDefault="00575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9DD78" w14:textId="77777777" w:rsidR="00D93BF6" w:rsidRDefault="00575608">
    <w:pPr>
      <w:tabs>
        <w:tab w:val="center" w:pos="4536"/>
        <w:tab w:val="right" w:pos="9072"/>
      </w:tabs>
      <w:rPr>
        <w:rFonts w:ascii="Times New Roman" w:hAnsi="Times New Roman"/>
        <w:color w:val="000000"/>
        <w:sz w:val="28"/>
        <w:szCs w:val="28"/>
      </w:rPr>
    </w:pPr>
    <w:r>
      <w:rPr>
        <w:noProof/>
      </w:rPr>
      <w:drawing>
        <wp:inline distT="114300" distB="114300" distL="114300" distR="114300" wp14:anchorId="4789DD7A" wp14:editId="4789DD7B">
          <wp:extent cx="5760410" cy="59690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789DD79" w14:textId="77777777" w:rsidR="00D93BF6" w:rsidRDefault="00D93B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BF6"/>
    <w:rsid w:val="00575608"/>
    <w:rsid w:val="008A5C0E"/>
    <w:rsid w:val="00D9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9DC67"/>
  <w15:docId w15:val="{7C3B8314-202B-4FB1-841A-A1DA94FC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3308"/>
    <w:rPr>
      <w:rFonts w:eastAsia="Times New Roman" w:cs="Times New Roman"/>
      <w:iCs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5F3308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F3308"/>
    <w:pPr>
      <w:keepNext/>
      <w:widowControl w:val="0"/>
      <w:suppressAutoHyphens/>
      <w:autoSpaceDE w:val="0"/>
      <w:jc w:val="both"/>
      <w:outlineLvl w:val="1"/>
    </w:pPr>
    <w:rPr>
      <w:rFonts w:cs="Arial"/>
      <w:b/>
      <w:iCs w:val="0"/>
      <w:sz w:val="28"/>
      <w:szCs w:val="18"/>
      <w:u w:val="single"/>
      <w:lang w:eastAsia="ar-SA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5F3308"/>
    <w:pPr>
      <w:jc w:val="center"/>
    </w:pPr>
    <w:rPr>
      <w:b/>
      <w:bCs/>
      <w:iCs w:val="0"/>
      <w:sz w:val="3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F3308"/>
  </w:style>
  <w:style w:type="paragraph" w:styleId="Pta">
    <w:name w:val="footer"/>
    <w:basedOn w:val="Normlny"/>
    <w:link w:val="Pt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F3308"/>
  </w:style>
  <w:style w:type="character" w:customStyle="1" w:styleId="NzovChar">
    <w:name w:val="Názov Char"/>
    <w:basedOn w:val="Predvolenpsmoodseku"/>
    <w:link w:val="Nzov"/>
    <w:rsid w:val="005F3308"/>
    <w:rPr>
      <w:rFonts w:ascii="Arial" w:eastAsia="Times New Roman" w:hAnsi="Arial" w:cs="Times New Roman"/>
      <w:b/>
      <w:bCs/>
      <w:iCs/>
      <w:sz w:val="36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rsid w:val="005F3308"/>
    <w:rPr>
      <w:rFonts w:ascii="Arial" w:eastAsia="Times New Roman" w:hAnsi="Arial" w:cs="Times New Roman"/>
      <w:b/>
      <w:bCs/>
      <w:i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5F3308"/>
    <w:rPr>
      <w:rFonts w:ascii="Arial" w:eastAsia="Times New Roman" w:hAnsi="Arial" w:cs="Arial"/>
      <w:b/>
      <w:sz w:val="28"/>
      <w:szCs w:val="18"/>
      <w:u w:val="single"/>
      <w:lang w:eastAsia="ar-SA"/>
    </w:rPr>
  </w:style>
  <w:style w:type="paragraph" w:customStyle="1" w:styleId="detail-odstavec">
    <w:name w:val="detail-odstavec"/>
    <w:basedOn w:val="Normlny"/>
    <w:rsid w:val="005F3308"/>
    <w:pPr>
      <w:spacing w:after="21"/>
    </w:pPr>
    <w:rPr>
      <w:rFonts w:ascii="Times New Roman" w:hAnsi="Times New Roman"/>
      <w:iCs w:val="0"/>
      <w:lang w:eastAsia="sk-SK"/>
    </w:rPr>
  </w:style>
  <w:style w:type="character" w:styleId="Vrazn">
    <w:name w:val="Strong"/>
    <w:qFormat/>
    <w:rsid w:val="005F3308"/>
    <w:rPr>
      <w:b/>
      <w:bCs/>
    </w:rPr>
  </w:style>
  <w:style w:type="table" w:styleId="Elegantntabuka">
    <w:name w:val="Table Elegant"/>
    <w:basedOn w:val="Normlnatabuka"/>
    <w:rsid w:val="005F3308"/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ostrany">
    <w:name w:val="page number"/>
    <w:basedOn w:val="Predvolenpsmoodseku"/>
    <w:rsid w:val="005F3308"/>
  </w:style>
  <w:style w:type="paragraph" w:styleId="Odsekzoznamu">
    <w:name w:val="List Paragraph"/>
    <w:basedOn w:val="Normlny"/>
    <w:uiPriority w:val="34"/>
    <w:qFormat/>
    <w:rsid w:val="005F3308"/>
    <w:pPr>
      <w:ind w:left="708"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  <w:tblStylePr w:type="firstRow">
      <w:rPr>
        <w:smallCaps/>
        <w:color w:val="000000"/>
      </w:rPr>
    </w:tblStyle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  <w:tcPr>
      <w:shd w:val="clear" w:color="auto" w:fill="auto"/>
    </w:tcPr>
  </w:style>
  <w:style w:type="table" w:customStyle="1" w:styleId="a9">
    <w:basedOn w:val="TableNormal0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  <w:tcPr>
      <w:shd w:val="clear" w:color="auto" w:fill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PGnR1nU7m4SRMYb6hqIT5yXx5g==">CgMxLjAaHwoBMBIaChgICVIUChJ0YWJsZS5yamswdmV4bmJ5bjc4AHIhMXNCeFM4bGdTRWVVTW0wdERSNnVoVEdqdXBrdkgxMU5l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4340</Characters>
  <Application>Microsoft Office Word</Application>
  <DocSecurity>0</DocSecurity>
  <Lines>36</Lines>
  <Paragraphs>10</Paragraphs>
  <ScaleCrop>false</ScaleCrop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RNDr. Hedviga Rusinková</dc:creator>
  <cp:lastModifiedBy>Rusinková Hedviga RNDr.</cp:lastModifiedBy>
  <cp:revision>2</cp:revision>
  <dcterms:created xsi:type="dcterms:W3CDTF">2021-04-19T09:03:00Z</dcterms:created>
  <dcterms:modified xsi:type="dcterms:W3CDTF">2025-07-29T14:21:00Z</dcterms:modified>
</cp:coreProperties>
</file>