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853B" w14:textId="77777777" w:rsidR="00953944" w:rsidRDefault="00953944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8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953944" w14:paraId="16AF853E" w14:textId="77777777">
        <w:trPr>
          <w:trHeight w:val="528"/>
        </w:trPr>
        <w:tc>
          <w:tcPr>
            <w:tcW w:w="3539" w:type="dxa"/>
            <w:vAlign w:val="center"/>
          </w:tcPr>
          <w:p w14:paraId="16AF853C" w14:textId="77777777" w:rsidR="00953944" w:rsidRDefault="00182482">
            <w:pPr>
              <w:spacing w:line="360" w:lineRule="auto"/>
              <w:rPr>
                <w:rFonts w:eastAsia="Arial" w:cs="Arial"/>
                <w:b/>
                <w:sz w:val="20"/>
                <w:szCs w:val="20"/>
              </w:rPr>
            </w:pPr>
            <w:r>
              <w:rPr>
                <w:rFonts w:eastAsia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16AF853D" w14:textId="507ED7AD" w:rsidR="00953944" w:rsidRPr="00182482" w:rsidRDefault="00182482">
            <w:pPr>
              <w:spacing w:line="360" w:lineRule="auto"/>
              <w:rPr>
                <w:rFonts w:eastAsia="Arial" w:cs="Arial"/>
                <w:bCs/>
              </w:rPr>
            </w:pPr>
            <w:r w:rsidRPr="00182482">
              <w:rPr>
                <w:rFonts w:eastAsia="Arial" w:cs="Arial"/>
                <w:bCs/>
              </w:rPr>
              <w:t>CVIČENIA Z DOPRAVY</w:t>
            </w:r>
          </w:p>
        </w:tc>
      </w:tr>
      <w:tr w:rsidR="00953944" w14:paraId="16AF8541" w14:textId="77777777">
        <w:trPr>
          <w:trHeight w:val="290"/>
        </w:trPr>
        <w:tc>
          <w:tcPr>
            <w:tcW w:w="3539" w:type="dxa"/>
            <w:vAlign w:val="center"/>
          </w:tcPr>
          <w:p w14:paraId="16AF853F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16AF8540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 xml:space="preserve">0 + 0 + 0 + 60 = 60 hodín  </w:t>
            </w:r>
          </w:p>
        </w:tc>
      </w:tr>
      <w:tr w:rsidR="00953944" w14:paraId="16AF8544" w14:textId="77777777">
        <w:trPr>
          <w:trHeight w:val="290"/>
        </w:trPr>
        <w:tc>
          <w:tcPr>
            <w:tcW w:w="3539" w:type="dxa"/>
            <w:vAlign w:val="center"/>
          </w:tcPr>
          <w:p w14:paraId="16AF8542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16AF8543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953944" w14:paraId="16AF8547" w14:textId="77777777">
        <w:trPr>
          <w:trHeight w:val="290"/>
        </w:trPr>
        <w:tc>
          <w:tcPr>
            <w:tcW w:w="3539" w:type="dxa"/>
            <w:vAlign w:val="center"/>
          </w:tcPr>
          <w:p w14:paraId="16AF8545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16AF8546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37 Doprava, pošty a telekomunikácie</w:t>
            </w:r>
          </w:p>
        </w:tc>
      </w:tr>
      <w:tr w:rsidR="00953944" w14:paraId="16AF854A" w14:textId="77777777">
        <w:trPr>
          <w:trHeight w:val="290"/>
        </w:trPr>
        <w:tc>
          <w:tcPr>
            <w:tcW w:w="3539" w:type="dxa"/>
            <w:vAlign w:val="center"/>
          </w:tcPr>
          <w:p w14:paraId="16AF8548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16AF8549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Technika a prevádzka dopravy</w:t>
            </w:r>
          </w:p>
        </w:tc>
      </w:tr>
      <w:tr w:rsidR="00953944" w14:paraId="16AF854D" w14:textId="77777777">
        <w:trPr>
          <w:trHeight w:val="290"/>
        </w:trPr>
        <w:tc>
          <w:tcPr>
            <w:tcW w:w="3539" w:type="dxa"/>
            <w:vAlign w:val="center"/>
          </w:tcPr>
          <w:p w14:paraId="16AF854B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16AF854C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3765 M technika a prevádzka dopravy</w:t>
            </w:r>
          </w:p>
        </w:tc>
      </w:tr>
      <w:tr w:rsidR="00953944" w14:paraId="16AF8550" w14:textId="77777777">
        <w:trPr>
          <w:trHeight w:val="290"/>
        </w:trPr>
        <w:tc>
          <w:tcPr>
            <w:tcW w:w="3539" w:type="dxa"/>
            <w:vAlign w:val="center"/>
          </w:tcPr>
          <w:p w14:paraId="16AF854E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16AF854F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953944" w14:paraId="16AF8553" w14:textId="77777777">
        <w:trPr>
          <w:trHeight w:val="290"/>
        </w:trPr>
        <w:tc>
          <w:tcPr>
            <w:tcW w:w="3539" w:type="dxa"/>
            <w:vAlign w:val="center"/>
          </w:tcPr>
          <w:p w14:paraId="16AF8551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16AF8552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4</w:t>
            </w:r>
          </w:p>
        </w:tc>
      </w:tr>
      <w:tr w:rsidR="00953944" w14:paraId="16AF8556" w14:textId="77777777">
        <w:trPr>
          <w:trHeight w:val="290"/>
        </w:trPr>
        <w:tc>
          <w:tcPr>
            <w:tcW w:w="3539" w:type="dxa"/>
            <w:vAlign w:val="center"/>
          </w:tcPr>
          <w:p w14:paraId="16AF8554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16AF8555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4 roky</w:t>
            </w:r>
          </w:p>
        </w:tc>
      </w:tr>
      <w:tr w:rsidR="00953944" w14:paraId="16AF8559" w14:textId="77777777">
        <w:trPr>
          <w:trHeight w:val="290"/>
        </w:trPr>
        <w:tc>
          <w:tcPr>
            <w:tcW w:w="3539" w:type="dxa"/>
            <w:vAlign w:val="center"/>
          </w:tcPr>
          <w:p w14:paraId="16AF8557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16AF8558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denná</w:t>
            </w:r>
          </w:p>
        </w:tc>
      </w:tr>
      <w:tr w:rsidR="00953944" w14:paraId="16AF855C" w14:textId="77777777">
        <w:trPr>
          <w:trHeight w:val="290"/>
        </w:trPr>
        <w:tc>
          <w:tcPr>
            <w:tcW w:w="3539" w:type="dxa"/>
            <w:vAlign w:val="center"/>
          </w:tcPr>
          <w:p w14:paraId="16AF855A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16AF855B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slovenský</w:t>
            </w:r>
          </w:p>
        </w:tc>
      </w:tr>
      <w:tr w:rsidR="00953944" w14:paraId="16AF855F" w14:textId="77777777">
        <w:trPr>
          <w:trHeight w:val="290"/>
        </w:trPr>
        <w:tc>
          <w:tcPr>
            <w:tcW w:w="3539" w:type="dxa"/>
            <w:vAlign w:val="center"/>
          </w:tcPr>
          <w:p w14:paraId="16AF855D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16AF855E" w14:textId="77777777" w:rsidR="00953944" w:rsidRDefault="00182482">
            <w:pPr>
              <w:spacing w:line="360" w:lineRule="auto"/>
              <w:rPr>
                <w:rFonts w:eastAsia="Arial" w:cs="Arial"/>
                <w:sz w:val="20"/>
                <w:szCs w:val="20"/>
              </w:rPr>
            </w:pPr>
            <w:r>
              <w:rPr>
                <w:rFonts w:eastAsia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16AF8560" w14:textId="77777777" w:rsidR="00953944" w:rsidRDefault="00953944">
      <w:pPr>
        <w:rPr>
          <w:rFonts w:ascii="Times New Roman" w:hAnsi="Times New Roman"/>
          <w:b/>
          <w:u w:val="single"/>
        </w:rPr>
      </w:pPr>
    </w:p>
    <w:p w14:paraId="16AF8561" w14:textId="77777777" w:rsidR="00953944" w:rsidRDefault="00953944">
      <w:pPr>
        <w:rPr>
          <w:rFonts w:ascii="Times New Roman" w:hAnsi="Times New Roman"/>
          <w:b/>
          <w:u w:val="single"/>
        </w:rPr>
      </w:pPr>
    </w:p>
    <w:p w14:paraId="16AF8562" w14:textId="77777777" w:rsidR="00953944" w:rsidRDefault="00182482" w:rsidP="00182482">
      <w:pPr>
        <w:shd w:val="clear" w:color="auto" w:fill="D9D9D9" w:themeFill="background1" w:themeFillShade="D9"/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16AF8563" w14:textId="77777777" w:rsidR="00953944" w:rsidRDefault="00953944">
      <w:pPr>
        <w:rPr>
          <w:rFonts w:ascii="Times New Roman" w:hAnsi="Times New Roman"/>
          <w:b/>
          <w:u w:val="single"/>
        </w:rPr>
      </w:pPr>
    </w:p>
    <w:p w14:paraId="16AF8564" w14:textId="77777777" w:rsidR="00953944" w:rsidRDefault="00182482">
      <w:pPr>
        <w:widowControl w:val="0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Učivo predmetu nadväzuje na základné vedomosti získané na hodinách cestnej dopravy. Získané vedomosti a schopnosti sa  overujú  na praktických príkladoch. Obsah vzdelávania uvádza žiakov do problematiky ekonomiky dopravy, hospodárskej praxe , základných vzťahov a podstaty fungovania trhovej ekonomiky. Žiaci si riešením príkladov osvoja problematiku časového a výkonového využitia vozidiel s cieľom znížiť náklady  dopravnej firmy. Na praktických príkladoch budú riešiť problematiku tvorby cien a kalkuláciu vla</w:t>
      </w:r>
      <w:r>
        <w:rPr>
          <w:sz w:val="20"/>
          <w:szCs w:val="20"/>
        </w:rPr>
        <w:t>stných nákladov. Predmetom je aj riešenie vzťahov medzi trhovou cenou poskytovanej služby a požadovaným objemom výkonov danej služby. Žiaci si  osvoja problematiku normovania spotreby pohonných hmôt v dopravných podnikoch a naučia sa racionalizovať prácu vodiča nákladnej dopravy. Osvojenie si vedomostí a kompetencií, pomôže absolventovi  využiť jeho odborné a osobnostné predpoklady, pre úspešné uplatnenie na trhu práce a pre budovanie profesijnej kariéry. Na hodinách sa využívajú frontálne a individuálne fo</w:t>
      </w:r>
      <w:r>
        <w:rPr>
          <w:sz w:val="20"/>
          <w:szCs w:val="20"/>
        </w:rPr>
        <w:t>rmy, projektové úlohy sa riešia skupinovou formou vyučovania. V rámci vyučovacieho predmetu sa používajú rôzne vyučovacie stratégie, motivačný rozhovor, výklad, problémové vyučovanie, prípadové štúdie. Pri diagnostikovaní a klasifikácii sa využíva slovné a  písomné hodnotenie s aktívnym využívaním digitálnych technológií.</w:t>
      </w:r>
    </w:p>
    <w:p w14:paraId="16AF8565" w14:textId="77777777" w:rsidR="00953944" w:rsidRDefault="0018248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Predmet sa vyučuje v odbornej učebni, ktorá je vybavená  didaktickou technikou a názornými pomôckami. </w:t>
      </w:r>
    </w:p>
    <w:p w14:paraId="16AF8566" w14:textId="77777777" w:rsidR="00953944" w:rsidRDefault="00953944">
      <w:pPr>
        <w:rPr>
          <w:rFonts w:ascii="Times New Roman" w:hAnsi="Times New Roman"/>
          <w:strike/>
        </w:rPr>
      </w:pPr>
    </w:p>
    <w:p w14:paraId="16AF8567" w14:textId="77777777" w:rsidR="00953944" w:rsidRDefault="00953944">
      <w:pPr>
        <w:spacing w:line="360" w:lineRule="auto"/>
        <w:ind w:firstLine="567"/>
        <w:jc w:val="both"/>
        <w:rPr>
          <w:sz w:val="20"/>
          <w:szCs w:val="20"/>
        </w:rPr>
      </w:pPr>
    </w:p>
    <w:sdt>
      <w:sdtPr>
        <w:tag w:val="goog_rdk_0"/>
        <w:id w:val="1654723604"/>
        <w:lock w:val="contentLocked"/>
      </w:sdtPr>
      <w:sdtEndPr/>
      <w:sdtContent>
        <w:tbl>
          <w:tblPr>
            <w:tblStyle w:val="a9"/>
            <w:tblW w:w="9000" w:type="dxa"/>
            <w:tblInd w:w="7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870"/>
            <w:gridCol w:w="2130"/>
          </w:tblGrid>
          <w:tr w:rsidR="00953944" w14:paraId="16AF8569" w14:textId="77777777">
            <w:trPr>
              <w:trHeight w:val="720"/>
            </w:trPr>
            <w:tc>
              <w:tcPr>
                <w:tcW w:w="9000" w:type="dxa"/>
                <w:gridSpan w:val="2"/>
                <w:vAlign w:val="center"/>
              </w:tcPr>
              <w:p w14:paraId="16AF8568" w14:textId="77777777" w:rsidR="00953944" w:rsidRDefault="00182482">
                <w:pPr>
                  <w:jc w:val="center"/>
                  <w:rPr>
                    <w:rFonts w:eastAsia="Arial" w:cs="Arial"/>
                    <w:b/>
                    <w:sz w:val="22"/>
                    <w:szCs w:val="22"/>
                  </w:rPr>
                </w:pPr>
                <w:r>
                  <w:rPr>
                    <w:rFonts w:eastAsia="Arial" w:cs="Arial"/>
                    <w:sz w:val="22"/>
                    <w:szCs w:val="22"/>
                  </w:rPr>
                  <w:tab/>
                </w:r>
                <w:r>
                  <w:rPr>
                    <w:rFonts w:eastAsia="Arial" w:cs="Arial"/>
                    <w:b/>
                    <w:sz w:val="22"/>
                    <w:szCs w:val="22"/>
                  </w:rPr>
                  <w:t>Rámcový rozpis učiva</w:t>
                </w:r>
              </w:p>
            </w:tc>
          </w:tr>
          <w:tr w:rsidR="00953944" w14:paraId="16AF856C" w14:textId="77777777">
            <w:trPr>
              <w:trHeight w:val="310"/>
            </w:trPr>
            <w:tc>
              <w:tcPr>
                <w:tcW w:w="6870" w:type="dxa"/>
                <w:shd w:val="clear" w:color="auto" w:fill="D9E2F3"/>
                <w:vAlign w:val="bottom"/>
              </w:tcPr>
              <w:p w14:paraId="16AF856A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4</w:t>
                </w:r>
                <w:r>
                  <w:rPr>
                    <w:rFonts w:eastAsia="Arial" w:cs="Arial"/>
                    <w:b/>
                    <w:sz w:val="20"/>
                    <w:szCs w:val="20"/>
                  </w:rPr>
                  <w:t>. ročník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16AF856B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  <w:sz w:val="20"/>
                    <w:szCs w:val="20"/>
                  </w:rPr>
                  <w:t>60 hodín spolu</w:t>
                </w:r>
              </w:p>
            </w:tc>
          </w:tr>
          <w:tr w:rsidR="00953944" w14:paraId="16AF856F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6D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lastRenderedPageBreak/>
                  <w:t>Technicko hospodárske ukazovatele v osobnej doprave</w:t>
                </w:r>
              </w:p>
            </w:tc>
            <w:tc>
              <w:tcPr>
                <w:tcW w:w="2130" w:type="dxa"/>
                <w:vAlign w:val="bottom"/>
              </w:tcPr>
              <w:p w14:paraId="16AF856E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10 hodín</w:t>
                </w:r>
              </w:p>
            </w:tc>
          </w:tr>
          <w:tr w:rsidR="00953944" w14:paraId="16AF8572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70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Intervalovosť dopravy, doba linky, doba prevádzky na linke</w:t>
                </w:r>
              </w:p>
            </w:tc>
            <w:tc>
              <w:tcPr>
                <w:tcW w:w="2130" w:type="dxa"/>
                <w:vAlign w:val="bottom"/>
              </w:tcPr>
              <w:p w14:paraId="16AF8571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75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73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Plánovanie tratí a spojov</w:t>
                </w:r>
              </w:p>
            </w:tc>
            <w:tc>
              <w:tcPr>
                <w:tcW w:w="2130" w:type="dxa"/>
                <w:vAlign w:val="bottom"/>
              </w:tcPr>
              <w:p w14:paraId="16AF8574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78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76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Jazdný výkon, počet prepravených osôb</w:t>
                </w:r>
              </w:p>
            </w:tc>
            <w:tc>
              <w:tcPr>
                <w:tcW w:w="2130" w:type="dxa"/>
                <w:vAlign w:val="bottom"/>
              </w:tcPr>
              <w:p w14:paraId="16AF8577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7B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79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Prepravný výkon</w:t>
                </w:r>
              </w:p>
            </w:tc>
            <w:tc>
              <w:tcPr>
                <w:tcW w:w="2130" w:type="dxa"/>
                <w:vAlign w:val="bottom"/>
              </w:tcPr>
              <w:p w14:paraId="16AF857A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7E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7C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Kapacitné výpočty a analýza prepravy</w:t>
                </w:r>
              </w:p>
            </w:tc>
            <w:tc>
              <w:tcPr>
                <w:tcW w:w="2130" w:type="dxa"/>
                <w:vAlign w:val="bottom"/>
              </w:tcPr>
              <w:p w14:paraId="16AF857D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81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7F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Hodnotenie kvality MHD na základe prieskumu</w:t>
                </w:r>
              </w:p>
            </w:tc>
            <w:tc>
              <w:tcPr>
                <w:tcW w:w="2130" w:type="dxa"/>
                <w:vAlign w:val="bottom"/>
              </w:tcPr>
              <w:p w14:paraId="16AF8580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84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82" w14:textId="77777777" w:rsidR="00953944" w:rsidRDefault="00182482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Technicko hospodárske ukazovatele v nákladnej doprave</w:t>
                </w:r>
              </w:p>
            </w:tc>
            <w:tc>
              <w:tcPr>
                <w:tcW w:w="2130" w:type="dxa"/>
                <w:vAlign w:val="bottom"/>
              </w:tcPr>
              <w:p w14:paraId="16AF8583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12 hodín</w:t>
                </w:r>
              </w:p>
            </w:tc>
          </w:tr>
          <w:tr w:rsidR="00953944" w14:paraId="16AF8587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85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Ukazovatele výkonov a výkonového využitia vozidiel</w:t>
                </w:r>
              </w:p>
            </w:tc>
            <w:tc>
              <w:tcPr>
                <w:tcW w:w="2130" w:type="dxa"/>
                <w:vAlign w:val="bottom"/>
              </w:tcPr>
              <w:p w14:paraId="16AF8586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8A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88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Čas obratu</w:t>
                </w:r>
              </w:p>
            </w:tc>
            <w:tc>
              <w:tcPr>
                <w:tcW w:w="2130" w:type="dxa"/>
                <w:vAlign w:val="bottom"/>
              </w:tcPr>
              <w:p w14:paraId="16AF8589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8D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8B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Ukazovatele časového využitia vozidiel</w:t>
                </w:r>
              </w:p>
            </w:tc>
            <w:tc>
              <w:tcPr>
                <w:tcW w:w="2130" w:type="dxa"/>
                <w:vAlign w:val="bottom"/>
              </w:tcPr>
              <w:p w14:paraId="16AF858C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90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8E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Normovanie spotreby pohonných hmôt</w:t>
                </w:r>
              </w:p>
            </w:tc>
            <w:tc>
              <w:tcPr>
                <w:tcW w:w="2130" w:type="dxa"/>
                <w:vAlign w:val="bottom"/>
              </w:tcPr>
              <w:p w14:paraId="16AF858F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6 hodín</w:t>
                </w:r>
              </w:p>
            </w:tc>
          </w:tr>
          <w:tr w:rsidR="00953944" w14:paraId="16AF8593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91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Spôsoby normovania spotreby</w:t>
                </w:r>
              </w:p>
            </w:tc>
            <w:tc>
              <w:tcPr>
                <w:tcW w:w="2130" w:type="dxa"/>
                <w:vAlign w:val="bottom"/>
              </w:tcPr>
              <w:p w14:paraId="16AF8592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96" w14:textId="77777777">
            <w:trPr>
              <w:trHeight w:val="135"/>
            </w:trPr>
            <w:tc>
              <w:tcPr>
                <w:tcW w:w="6870" w:type="dxa"/>
                <w:vAlign w:val="bottom"/>
              </w:tcPr>
              <w:p w14:paraId="16AF8594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Normovanie pomocou výpočtov</w:t>
                </w:r>
              </w:p>
            </w:tc>
            <w:tc>
              <w:tcPr>
                <w:tcW w:w="2130" w:type="dxa"/>
                <w:vAlign w:val="bottom"/>
              </w:tcPr>
              <w:p w14:paraId="16AF8595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99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97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Zásady riešenia nadspotreby</w:t>
                </w:r>
              </w:p>
            </w:tc>
            <w:tc>
              <w:tcPr>
                <w:tcW w:w="2130" w:type="dxa"/>
                <w:vAlign w:val="bottom"/>
              </w:tcPr>
              <w:p w14:paraId="16AF8598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9C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9A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Spôsoby znižovania energie v doprave</w:t>
                </w:r>
              </w:p>
            </w:tc>
            <w:tc>
              <w:tcPr>
                <w:tcW w:w="2130" w:type="dxa"/>
                <w:vAlign w:val="bottom"/>
              </w:tcPr>
              <w:p w14:paraId="16AF859B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9F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9D" w14:textId="77777777" w:rsidR="00953944" w:rsidRDefault="0018248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Prepravné v cestnej doprave</w:t>
                </w:r>
              </w:p>
            </w:tc>
            <w:tc>
              <w:tcPr>
                <w:tcW w:w="2130" w:type="dxa"/>
                <w:vAlign w:val="bottom"/>
              </w:tcPr>
              <w:p w14:paraId="16AF859E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12 hodín</w:t>
                </w:r>
              </w:p>
            </w:tc>
          </w:tr>
          <w:tr w:rsidR="00953944" w14:paraId="16AF85A2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A0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Nákladový princíp stanovenia ceny za prepravu</w:t>
                </w:r>
              </w:p>
            </w:tc>
            <w:tc>
              <w:tcPr>
                <w:tcW w:w="2130" w:type="dxa"/>
                <w:vAlign w:val="bottom"/>
              </w:tcPr>
              <w:p w14:paraId="16AF85A1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A5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A3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Členenie vlastných nákladov</w:t>
                </w:r>
              </w:p>
            </w:tc>
            <w:tc>
              <w:tcPr>
                <w:tcW w:w="2130" w:type="dxa"/>
                <w:vAlign w:val="bottom"/>
              </w:tcPr>
              <w:p w14:paraId="16AF85A4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A8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A6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Kritický bod rentability</w:t>
                </w:r>
              </w:p>
            </w:tc>
            <w:tc>
              <w:tcPr>
                <w:tcW w:w="2130" w:type="dxa"/>
                <w:vAlign w:val="bottom"/>
              </w:tcPr>
              <w:p w14:paraId="16AF85A7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AB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A9" w14:textId="77777777" w:rsidR="00953944" w:rsidRDefault="0018248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Kalkulácia vlastných nákladov v CDO (Digitalizácia-Tabuľkové a textové editory vo väzbe na prevádzkovo-ekonomické údaje)</w:t>
                </w:r>
              </w:p>
            </w:tc>
            <w:tc>
              <w:tcPr>
                <w:tcW w:w="2130" w:type="dxa"/>
                <w:vAlign w:val="bottom"/>
              </w:tcPr>
              <w:p w14:paraId="16AF85AA" w14:textId="77777777" w:rsidR="00953944" w:rsidRDefault="0095394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AE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AC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Hodnotový princíp stanovenia ceny za prepravu</w:t>
                </w:r>
              </w:p>
            </w:tc>
            <w:tc>
              <w:tcPr>
                <w:tcW w:w="2130" w:type="dxa"/>
                <w:vAlign w:val="bottom"/>
              </w:tcPr>
              <w:p w14:paraId="16AF85AD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B1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AF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Nové informačné technológie a ich využitie pri kalkulácii nákladov</w:t>
                </w:r>
              </w:p>
            </w:tc>
            <w:tc>
              <w:tcPr>
                <w:tcW w:w="2130" w:type="dxa"/>
                <w:vAlign w:val="bottom"/>
              </w:tcPr>
              <w:p w14:paraId="16AF85B0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B4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B2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Kalkulácia nákladov v prímestskej a mestskej autobusovej doprave</w:t>
                </w:r>
              </w:p>
            </w:tc>
            <w:tc>
              <w:tcPr>
                <w:tcW w:w="2130" w:type="dxa"/>
                <w:vAlign w:val="bottom"/>
              </w:tcPr>
              <w:p w14:paraId="16AF85B3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B7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B5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Maximalizácia zisku pomocou cenovej tvorby</w:t>
                </w:r>
              </w:p>
            </w:tc>
            <w:tc>
              <w:tcPr>
                <w:tcW w:w="2130" w:type="dxa"/>
                <w:vAlign w:val="bottom"/>
              </w:tcPr>
              <w:p w14:paraId="16AF85B6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BA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B8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Založenie súkromnej dopravnej firmy</w:t>
                </w:r>
              </w:p>
            </w:tc>
            <w:tc>
              <w:tcPr>
                <w:tcW w:w="2130" w:type="dxa"/>
                <w:vAlign w:val="bottom"/>
              </w:tcPr>
              <w:p w14:paraId="16AF85B9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BD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BB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Ponuka a dopyt po cestnej doprave</w:t>
                </w:r>
              </w:p>
            </w:tc>
            <w:tc>
              <w:tcPr>
                <w:tcW w:w="2130" w:type="dxa"/>
                <w:vAlign w:val="bottom"/>
              </w:tcPr>
              <w:p w14:paraId="16AF85BC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9</w:t>
                </w:r>
                <w:r>
                  <w:rPr>
                    <w:rFonts w:eastAsia="Arial" w:cs="Arial"/>
                    <w:b/>
                    <w:sz w:val="20"/>
                    <w:szCs w:val="20"/>
                  </w:rPr>
                  <w:t xml:space="preserve"> hodín</w:t>
                </w:r>
              </w:p>
            </w:tc>
          </w:tr>
          <w:tr w:rsidR="00953944" w14:paraId="16AF85C0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BE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Ponuka služieb a dopyt po cestnej doprave</w:t>
                </w:r>
              </w:p>
            </w:tc>
            <w:tc>
              <w:tcPr>
                <w:tcW w:w="2130" w:type="dxa"/>
                <w:vAlign w:val="bottom"/>
              </w:tcPr>
              <w:p w14:paraId="16AF85BF" w14:textId="77777777" w:rsidR="00953944" w:rsidRDefault="00953944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</w:p>
            </w:tc>
          </w:tr>
          <w:tr w:rsidR="00953944" w14:paraId="16AF85C3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C1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Faktory vplývajúce na dopyt po osobnej doprave</w:t>
                </w:r>
              </w:p>
            </w:tc>
            <w:tc>
              <w:tcPr>
                <w:tcW w:w="2130" w:type="dxa"/>
                <w:vAlign w:val="bottom"/>
              </w:tcPr>
              <w:p w14:paraId="16AF85C2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C6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C4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Rovnováha medzi ponukou a dopytom v mestskej doprave</w:t>
                </w:r>
              </w:p>
            </w:tc>
            <w:tc>
              <w:tcPr>
                <w:tcW w:w="2130" w:type="dxa"/>
                <w:vAlign w:val="bottom"/>
              </w:tcPr>
              <w:p w14:paraId="16AF85C5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C9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C7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Faktory vplývajúce na dopyt po nákladnej  doprave</w:t>
                </w:r>
              </w:p>
            </w:tc>
            <w:tc>
              <w:tcPr>
                <w:tcW w:w="2130" w:type="dxa"/>
                <w:vAlign w:val="bottom"/>
              </w:tcPr>
              <w:p w14:paraId="16AF85C8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CC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CA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Ekonomický model ponuky a dopytu v nákladnej doprave</w:t>
                </w:r>
              </w:p>
            </w:tc>
            <w:tc>
              <w:tcPr>
                <w:tcW w:w="2130" w:type="dxa"/>
                <w:vAlign w:val="bottom"/>
              </w:tcPr>
              <w:p w14:paraId="16AF85CB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CF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CD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Elasticita dopytu</w:t>
                </w:r>
              </w:p>
            </w:tc>
            <w:tc>
              <w:tcPr>
                <w:tcW w:w="2130" w:type="dxa"/>
                <w:vAlign w:val="bottom"/>
              </w:tcPr>
              <w:p w14:paraId="16AF85CE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D2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D0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Dopad technológii na ponuku a dopyt v cestnej doprave</w:t>
                </w:r>
              </w:p>
            </w:tc>
            <w:tc>
              <w:tcPr>
                <w:tcW w:w="2130" w:type="dxa"/>
                <w:vAlign w:val="bottom"/>
              </w:tcPr>
              <w:p w14:paraId="16AF85D1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D5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D3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Medzinárodná cestná doprava</w:t>
                </w:r>
              </w:p>
            </w:tc>
            <w:tc>
              <w:tcPr>
                <w:tcW w:w="2130" w:type="dxa"/>
                <w:vAlign w:val="bottom"/>
              </w:tcPr>
              <w:p w14:paraId="16AF85D4" w14:textId="77777777" w:rsidR="00953944" w:rsidRDefault="00182482">
                <w:pPr>
                  <w:rPr>
                    <w:rFonts w:eastAsia="Arial" w:cs="Arial"/>
                    <w:b/>
                    <w:sz w:val="20"/>
                    <w:szCs w:val="20"/>
                  </w:rPr>
                </w:pPr>
                <w:r>
                  <w:rPr>
                    <w:rFonts w:eastAsia="Arial" w:cs="Arial"/>
                    <w:b/>
                  </w:rPr>
                  <w:t>11 hodín</w:t>
                </w:r>
              </w:p>
            </w:tc>
          </w:tr>
          <w:tr w:rsidR="00953944" w14:paraId="16AF85D8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D6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Medzinárodné zmluvy a dohovory</w:t>
                </w:r>
              </w:p>
            </w:tc>
            <w:tc>
              <w:tcPr>
                <w:tcW w:w="2130" w:type="dxa"/>
                <w:vAlign w:val="bottom"/>
              </w:tcPr>
              <w:p w14:paraId="16AF85D7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DB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D9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Prepravné doklady a ich digitalizácia</w:t>
                </w:r>
              </w:p>
            </w:tc>
            <w:tc>
              <w:tcPr>
                <w:tcW w:w="2130" w:type="dxa"/>
                <w:vAlign w:val="bottom"/>
              </w:tcPr>
              <w:p w14:paraId="16AF85DA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DE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DC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Medzinárodná autobusová doprava, Interbus</w:t>
                </w:r>
              </w:p>
            </w:tc>
            <w:tc>
              <w:tcPr>
                <w:tcW w:w="2130" w:type="dxa"/>
                <w:vAlign w:val="bottom"/>
              </w:tcPr>
              <w:p w14:paraId="16AF85DD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E1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DF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Práca vodiča v medzinárodnej cestnej nákladnej doprave</w:t>
                </w:r>
              </w:p>
            </w:tc>
            <w:tc>
              <w:tcPr>
                <w:tcW w:w="2130" w:type="dxa"/>
                <w:vAlign w:val="bottom"/>
              </w:tcPr>
              <w:p w14:paraId="16AF85E0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E4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E2" w14:textId="77777777" w:rsidR="00953944" w:rsidRDefault="00182482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Plánovanie trás</w:t>
                </w:r>
              </w:p>
            </w:tc>
            <w:tc>
              <w:tcPr>
                <w:tcW w:w="2130" w:type="dxa"/>
                <w:vAlign w:val="bottom"/>
              </w:tcPr>
              <w:p w14:paraId="16AF85E3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E7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E5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Plánovanie doby jazdy a bezpečnostných prestávok</w:t>
                </w:r>
              </w:p>
            </w:tc>
            <w:tc>
              <w:tcPr>
                <w:tcW w:w="2130" w:type="dxa"/>
                <w:vAlign w:val="bottom"/>
              </w:tcPr>
              <w:p w14:paraId="16AF85E6" w14:textId="77777777" w:rsidR="00953944" w:rsidRDefault="00953944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  <w:tr w:rsidR="00953944" w14:paraId="16AF85EA" w14:textId="77777777">
            <w:trPr>
              <w:trHeight w:val="290"/>
            </w:trPr>
            <w:tc>
              <w:tcPr>
                <w:tcW w:w="6870" w:type="dxa"/>
                <w:vAlign w:val="bottom"/>
              </w:tcPr>
              <w:p w14:paraId="16AF85E8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  <w:r>
                  <w:rPr>
                    <w:rFonts w:eastAsia="Arial" w:cs="Arial"/>
                  </w:rPr>
                  <w:t>Prípadové štúdie na optimalizáciu práce vodiča</w:t>
                </w:r>
              </w:p>
            </w:tc>
            <w:tc>
              <w:tcPr>
                <w:tcW w:w="2130" w:type="dxa"/>
                <w:vAlign w:val="bottom"/>
              </w:tcPr>
              <w:p w14:paraId="16AF85E9" w14:textId="77777777" w:rsidR="00953944" w:rsidRDefault="00182482">
                <w:pPr>
                  <w:rPr>
                    <w:rFonts w:eastAsia="Arial" w:cs="Arial"/>
                    <w:sz w:val="20"/>
                    <w:szCs w:val="20"/>
                  </w:rPr>
                </w:pPr>
              </w:p>
            </w:tc>
          </w:tr>
        </w:tbl>
      </w:sdtContent>
    </w:sdt>
    <w:p w14:paraId="16AF85EB" w14:textId="77777777" w:rsidR="00953944" w:rsidRDefault="00953944">
      <w:pPr>
        <w:ind w:firstLine="708"/>
        <w:jc w:val="both"/>
        <w:rPr>
          <w:rFonts w:ascii="Times New Roman" w:hAnsi="Times New Roman"/>
        </w:rPr>
      </w:pPr>
    </w:p>
    <w:p w14:paraId="16AF85EC" w14:textId="77777777" w:rsidR="00953944" w:rsidRDefault="0018248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16AF85ED" w14:textId="77777777" w:rsidR="00953944" w:rsidRDefault="0018248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16AF85EE" w14:textId="77777777" w:rsidR="00953944" w:rsidRDefault="00953944">
      <w:pPr>
        <w:spacing w:line="360" w:lineRule="auto"/>
        <w:ind w:firstLine="567"/>
        <w:jc w:val="both"/>
        <w:rPr>
          <w:sz w:val="20"/>
          <w:szCs w:val="20"/>
        </w:rPr>
      </w:pPr>
    </w:p>
    <w:p w14:paraId="16AF85EF" w14:textId="77777777" w:rsidR="00953944" w:rsidRDefault="00182482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Vzdelávací plán schvaľuje predmetová komisia a prerokuje pedagogická rada.</w:t>
      </w:r>
    </w:p>
    <w:p w14:paraId="16AF85F0" w14:textId="77777777" w:rsidR="00953944" w:rsidRDefault="00953944">
      <w:pPr>
        <w:spacing w:line="360" w:lineRule="auto"/>
        <w:jc w:val="both"/>
        <w:rPr>
          <w:sz w:val="20"/>
          <w:szCs w:val="20"/>
        </w:rPr>
      </w:pPr>
    </w:p>
    <w:p w14:paraId="16AF85F1" w14:textId="77777777" w:rsidR="00953944" w:rsidRDefault="00953944">
      <w:pPr>
        <w:spacing w:line="360" w:lineRule="auto"/>
        <w:jc w:val="both"/>
        <w:rPr>
          <w:sz w:val="20"/>
          <w:szCs w:val="20"/>
        </w:rPr>
      </w:pPr>
    </w:p>
    <w:p w14:paraId="16AF85F2" w14:textId="2D24E91B" w:rsidR="00953944" w:rsidRDefault="00953944" w:rsidP="00182482">
      <w:pPr>
        <w:jc w:val="both"/>
        <w:rPr>
          <w:rFonts w:ascii="Times New Roman" w:hAnsi="Times New Roman"/>
          <w:strike/>
        </w:rPr>
      </w:pPr>
    </w:p>
    <w:sectPr w:rsidR="00953944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F85F9" w14:textId="77777777" w:rsidR="00182482" w:rsidRDefault="00182482">
      <w:r>
        <w:separator/>
      </w:r>
    </w:p>
  </w:endnote>
  <w:endnote w:type="continuationSeparator" w:id="0">
    <w:p w14:paraId="16AF85FB" w14:textId="77777777" w:rsidR="00182482" w:rsidRDefault="0018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85F5" w14:textId="77777777" w:rsidR="00182482" w:rsidRDefault="00182482">
      <w:r>
        <w:separator/>
      </w:r>
    </w:p>
  </w:footnote>
  <w:footnote w:type="continuationSeparator" w:id="0">
    <w:p w14:paraId="16AF85F7" w14:textId="77777777" w:rsidR="00182482" w:rsidRDefault="00182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85F3" w14:textId="77777777" w:rsidR="00953944" w:rsidRDefault="00182482">
    <w:pPr>
      <w:tabs>
        <w:tab w:val="center" w:pos="4536"/>
        <w:tab w:val="right" w:pos="9072"/>
      </w:tabs>
      <w:rPr>
        <w:rFonts w:ascii="Times New Roman" w:hAnsi="Times New Roman"/>
        <w:color w:val="000000"/>
        <w:sz w:val="28"/>
        <w:szCs w:val="28"/>
      </w:rPr>
    </w:pPr>
    <w:r>
      <w:rPr>
        <w:noProof/>
      </w:rPr>
      <w:drawing>
        <wp:inline distT="114300" distB="114300" distL="114300" distR="114300" wp14:anchorId="16AF85F5" wp14:editId="16AF85F6">
          <wp:extent cx="5760410" cy="5969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6AF85F4" w14:textId="77777777" w:rsidR="00953944" w:rsidRDefault="009539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944"/>
    <w:rsid w:val="00182482"/>
    <w:rsid w:val="008A5C0E"/>
    <w:rsid w:val="0095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8539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smallCaps/>
        <w:color w:val="000000"/>
      </w:r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  <w:tcPr>
      <w:shd w:val="clear" w:color="auto" w:fill="auto"/>
    </w:tcPr>
  </w:style>
  <w:style w:type="table" w:customStyle="1" w:styleId="a9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TT1xsJGTrtbtMvCRVLoS0vwtrA==">CgMxLjAaHwoBMBIaChgICVIUChJ0YWJsZS5jZWQzMzJlcTU0YnY4AHIhMURNZDRvendmc1RKZHVKYWV3SnJYcFA4YzhzVVZYd2V3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2021-04-19T09:03:00Z</dcterms:created>
  <dcterms:modified xsi:type="dcterms:W3CDTF">2025-07-29T14:28:00Z</dcterms:modified>
</cp:coreProperties>
</file>