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C9D47" w14:textId="77777777" w:rsidR="006916BF" w:rsidRDefault="006916BF">
      <w:pPr>
        <w:widowControl w:val="0"/>
        <w:spacing w:after="0" w:line="276" w:lineRule="auto"/>
        <w:rPr>
          <w:rFonts w:ascii="Arial" w:eastAsia="Arial" w:hAnsi="Arial" w:cs="Arial"/>
        </w:rPr>
      </w:pPr>
    </w:p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6916BF" w14:paraId="353C9D4A" w14:textId="77777777">
        <w:trPr>
          <w:trHeight w:val="528"/>
        </w:trPr>
        <w:tc>
          <w:tcPr>
            <w:tcW w:w="3539" w:type="dxa"/>
            <w:vAlign w:val="center"/>
          </w:tcPr>
          <w:p w14:paraId="353C9D48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353C9D49" w14:textId="31E2625E" w:rsidR="006916BF" w:rsidRPr="00E01FE2" w:rsidRDefault="00E01FE2">
            <w:pPr>
              <w:spacing w:after="0" w:line="240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E01FE2">
              <w:rPr>
                <w:rFonts w:ascii="Arial" w:eastAsia="Arial" w:hAnsi="Arial" w:cs="Arial"/>
                <w:bCs/>
                <w:sz w:val="24"/>
                <w:szCs w:val="24"/>
              </w:rPr>
              <w:t>ČASTI STROJOV</w:t>
            </w:r>
          </w:p>
        </w:tc>
      </w:tr>
      <w:tr w:rsidR="006916BF" w14:paraId="353C9D4D" w14:textId="77777777">
        <w:trPr>
          <w:trHeight w:val="290"/>
        </w:trPr>
        <w:tc>
          <w:tcPr>
            <w:tcW w:w="3539" w:type="dxa"/>
            <w:vAlign w:val="center"/>
          </w:tcPr>
          <w:p w14:paraId="353C9D4B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353C9D4C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 + 99 + 0 + 0 = 99 hodín  </w:t>
            </w:r>
          </w:p>
        </w:tc>
      </w:tr>
      <w:tr w:rsidR="006916BF" w14:paraId="353C9D50" w14:textId="77777777">
        <w:trPr>
          <w:trHeight w:val="290"/>
        </w:trPr>
        <w:tc>
          <w:tcPr>
            <w:tcW w:w="3539" w:type="dxa"/>
            <w:vAlign w:val="center"/>
          </w:tcPr>
          <w:p w14:paraId="353C9D4E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353C9D4F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6916BF" w14:paraId="353C9D53" w14:textId="77777777">
        <w:trPr>
          <w:trHeight w:val="290"/>
        </w:trPr>
        <w:tc>
          <w:tcPr>
            <w:tcW w:w="3539" w:type="dxa"/>
            <w:vAlign w:val="center"/>
          </w:tcPr>
          <w:p w14:paraId="353C9D51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ŠVP  </w:t>
            </w:r>
          </w:p>
        </w:tc>
        <w:tc>
          <w:tcPr>
            <w:tcW w:w="5528" w:type="dxa"/>
            <w:vAlign w:val="center"/>
          </w:tcPr>
          <w:p w14:paraId="353C9D52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 Špeciálne technické odbory</w:t>
            </w:r>
          </w:p>
        </w:tc>
      </w:tr>
      <w:tr w:rsidR="006916BF" w14:paraId="353C9D56" w14:textId="77777777">
        <w:trPr>
          <w:trHeight w:val="290"/>
        </w:trPr>
        <w:tc>
          <w:tcPr>
            <w:tcW w:w="3539" w:type="dxa"/>
            <w:vAlign w:val="center"/>
          </w:tcPr>
          <w:p w14:paraId="353C9D54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353C9D55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Logistika</w:t>
            </w:r>
          </w:p>
        </w:tc>
      </w:tr>
      <w:tr w:rsidR="006916BF" w14:paraId="353C9D59" w14:textId="77777777">
        <w:trPr>
          <w:trHeight w:val="290"/>
        </w:trPr>
        <w:tc>
          <w:tcPr>
            <w:tcW w:w="3539" w:type="dxa"/>
            <w:vAlign w:val="center"/>
          </w:tcPr>
          <w:p w14:paraId="353C9D57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353C9D58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3968 M logistika</w:t>
            </w:r>
          </w:p>
        </w:tc>
      </w:tr>
      <w:tr w:rsidR="006916BF" w14:paraId="353C9D5C" w14:textId="77777777">
        <w:trPr>
          <w:trHeight w:val="290"/>
        </w:trPr>
        <w:tc>
          <w:tcPr>
            <w:tcW w:w="3539" w:type="dxa"/>
            <w:vAlign w:val="center"/>
          </w:tcPr>
          <w:p w14:paraId="353C9D5A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353C9D5B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úplne stredné odborné vzdelanie </w:t>
            </w:r>
          </w:p>
        </w:tc>
      </w:tr>
      <w:tr w:rsidR="006916BF" w14:paraId="353C9D5F" w14:textId="77777777">
        <w:trPr>
          <w:trHeight w:val="290"/>
        </w:trPr>
        <w:tc>
          <w:tcPr>
            <w:tcW w:w="3539" w:type="dxa"/>
            <w:vAlign w:val="center"/>
          </w:tcPr>
          <w:p w14:paraId="353C9D5D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353C9D5E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6916BF" w14:paraId="353C9D62" w14:textId="77777777">
        <w:trPr>
          <w:trHeight w:val="290"/>
        </w:trPr>
        <w:tc>
          <w:tcPr>
            <w:tcW w:w="3539" w:type="dxa"/>
            <w:vAlign w:val="center"/>
          </w:tcPr>
          <w:p w14:paraId="353C9D60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353C9D61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roky</w:t>
            </w:r>
          </w:p>
        </w:tc>
      </w:tr>
      <w:tr w:rsidR="006916BF" w14:paraId="353C9D65" w14:textId="77777777">
        <w:trPr>
          <w:trHeight w:val="290"/>
        </w:trPr>
        <w:tc>
          <w:tcPr>
            <w:tcW w:w="3539" w:type="dxa"/>
            <w:vAlign w:val="center"/>
          </w:tcPr>
          <w:p w14:paraId="353C9D63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353C9D64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denná</w:t>
            </w:r>
          </w:p>
        </w:tc>
      </w:tr>
      <w:tr w:rsidR="006916BF" w14:paraId="353C9D68" w14:textId="77777777">
        <w:trPr>
          <w:trHeight w:val="290"/>
        </w:trPr>
        <w:tc>
          <w:tcPr>
            <w:tcW w:w="3539" w:type="dxa"/>
            <w:vAlign w:val="center"/>
          </w:tcPr>
          <w:p w14:paraId="353C9D66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353C9D67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slovenský</w:t>
            </w:r>
          </w:p>
        </w:tc>
      </w:tr>
      <w:tr w:rsidR="006916BF" w14:paraId="353C9D6B" w14:textId="77777777">
        <w:trPr>
          <w:trHeight w:val="290"/>
        </w:trPr>
        <w:tc>
          <w:tcPr>
            <w:tcW w:w="3539" w:type="dxa"/>
            <w:vAlign w:val="center"/>
          </w:tcPr>
          <w:p w14:paraId="353C9D69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353C9D6A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353C9D6C" w14:textId="77777777" w:rsidR="006916BF" w:rsidRDefault="006916BF">
      <w:pPr>
        <w:rPr>
          <w:rFonts w:ascii="Arial" w:eastAsia="Arial" w:hAnsi="Arial" w:cs="Arial"/>
          <w:sz w:val="20"/>
          <w:szCs w:val="20"/>
        </w:rPr>
      </w:pPr>
    </w:p>
    <w:p w14:paraId="353C9D6D" w14:textId="77777777" w:rsidR="006916BF" w:rsidRDefault="00E01FE2" w:rsidP="00E01FE2">
      <w:pPr>
        <w:shd w:val="clear" w:color="auto" w:fill="D9D9D9" w:themeFill="background1" w:themeFillShade="D9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353C9D6E" w14:textId="77777777" w:rsidR="006916BF" w:rsidRDefault="006916BF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353C9D72" w14:textId="2A4B64D3" w:rsidR="006916BF" w:rsidRPr="00E01FE2" w:rsidRDefault="00E01FE2" w:rsidP="00E01FE2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Učivo v</w:t>
      </w:r>
      <w:r>
        <w:rPr>
          <w:rFonts w:ascii="Arial" w:eastAsia="Arial" w:hAnsi="Arial" w:cs="Arial"/>
          <w:sz w:val="20"/>
          <w:szCs w:val="20"/>
        </w:rPr>
        <w:t>yučovacieho predmetu časti strojov poskytuje žiakom vedomosti o základných strojových súčiastkach, súčiastkach na prenos otáčavého pohybu, mechanických prevodoch a o základných druhoch mechanizmov. Umožňuje poznať ich funkciu, princíp činnosti a použitie v praxi. Žiaci získajú znalosti o technickom zobrazovaní strojových súčiastok a konštrukčných celkov v logistike v súlade s platnými normami. Naučia sa identifikovať strojové súčiastky a oboznámia sa s činnosťou mechanizmov používaných v logistike.  Na zákl</w:t>
      </w:r>
      <w:r>
        <w:rPr>
          <w:rFonts w:ascii="Arial" w:eastAsia="Arial" w:hAnsi="Arial" w:cs="Arial"/>
          <w:sz w:val="20"/>
          <w:szCs w:val="20"/>
        </w:rPr>
        <w:t>ade získaných vedomostí  budú vedieť riešiť technické výpočty s použitím odbornej technickej literatúry. Žiaci si osvoja odbornú terminológiu, schopnosť aplikovať teoretické vedomostí do praxe a logicky myslieť. Získané kompetencie pripravujú žiakov na prácu v oblasti logistiky a zvyšujú ich uplatniteľnosť na trhu práce. Predmet časti strojov je teoretického charakteru a je veľmi úzko previazaný s predmetmi matematika, základy výroby a odborná prax. V rámci vyučovacieho predmetu sa používajú rôzne vyučovaci</w:t>
      </w:r>
      <w:r>
        <w:rPr>
          <w:rFonts w:ascii="Arial" w:eastAsia="Arial" w:hAnsi="Arial" w:cs="Arial"/>
          <w:sz w:val="20"/>
          <w:szCs w:val="20"/>
        </w:rPr>
        <w:t>e stratégie, výkladové, demonštračné metódy, problémové vyučovanie a metódy na rozvoj tvorivých schopností. Na dosiahnutie výchovno-vzdelávacích cieľov sa používajú frontálne a individuálne formy vyučovania. Žiaci pracujú individuálne alebo v skupinách pri riešení problémových úloh. Pre názornosť sa využíva didaktická technika, učebné materiály a softvérové programy pre pochopenie vzájomnej interakcie. Pri diagnostikovaní a klasifikácii využívame formatívne slovné a sumatívne písomné a praktické hodnotenie.</w:t>
      </w:r>
      <w:r>
        <w:rPr>
          <w:rFonts w:ascii="Arial" w:eastAsia="Arial" w:hAnsi="Arial" w:cs="Arial"/>
          <w:sz w:val="20"/>
          <w:szCs w:val="20"/>
        </w:rPr>
        <w:t xml:space="preserve"> Do obsahu sú zaradené aj prvky environmentálnej výchovy a zásady bezpečnosti práce. Učivo sa prednáša a vysvetľuje v odborných učebniach.</w:t>
      </w:r>
    </w:p>
    <w:p w14:paraId="353C9D73" w14:textId="77777777" w:rsidR="006916BF" w:rsidRDefault="006916BF">
      <w:pPr>
        <w:spacing w:after="0" w:line="276" w:lineRule="auto"/>
        <w:jc w:val="both"/>
      </w:pPr>
    </w:p>
    <w:tbl>
      <w:tblPr>
        <w:tblStyle w:val="a0"/>
        <w:tblW w:w="90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55"/>
        <w:gridCol w:w="1845"/>
      </w:tblGrid>
      <w:tr w:rsidR="006916BF" w14:paraId="353C9D75" w14:textId="77777777">
        <w:trPr>
          <w:trHeight w:val="720"/>
          <w:jc w:val="center"/>
        </w:trPr>
        <w:tc>
          <w:tcPr>
            <w:tcW w:w="9000" w:type="dxa"/>
            <w:gridSpan w:val="2"/>
            <w:vAlign w:val="center"/>
          </w:tcPr>
          <w:p w14:paraId="353C9D74" w14:textId="77777777" w:rsidR="006916BF" w:rsidRDefault="00E01FE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Rámcový rozpis učiva</w:t>
            </w:r>
          </w:p>
        </w:tc>
      </w:tr>
      <w:tr w:rsidR="006916BF" w14:paraId="353C9D78" w14:textId="77777777">
        <w:trPr>
          <w:trHeight w:val="340"/>
          <w:jc w:val="center"/>
        </w:trPr>
        <w:tc>
          <w:tcPr>
            <w:tcW w:w="7155" w:type="dxa"/>
            <w:shd w:val="clear" w:color="auto" w:fill="D9E2F3"/>
            <w:vAlign w:val="bottom"/>
          </w:tcPr>
          <w:p w14:paraId="353C9D76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2. ročník</w:t>
            </w:r>
          </w:p>
        </w:tc>
        <w:tc>
          <w:tcPr>
            <w:tcW w:w="1845" w:type="dxa"/>
            <w:shd w:val="clear" w:color="auto" w:fill="D9E2F3"/>
            <w:vAlign w:val="bottom"/>
          </w:tcPr>
          <w:p w14:paraId="353C9D77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99 hodín spolu</w:t>
            </w:r>
          </w:p>
        </w:tc>
      </w:tr>
      <w:tr w:rsidR="006916BF" w14:paraId="353C9D7B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79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3B4146"/>
                <w:sz w:val="20"/>
                <w:szCs w:val="20"/>
                <w:highlight w:val="white"/>
              </w:rPr>
              <w:t>Spoje a spojovacie súčiastky</w:t>
            </w:r>
          </w:p>
        </w:tc>
        <w:tc>
          <w:tcPr>
            <w:tcW w:w="1845" w:type="dxa"/>
            <w:vAlign w:val="bottom"/>
          </w:tcPr>
          <w:p w14:paraId="353C9D7A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26 hodín</w:t>
            </w:r>
          </w:p>
        </w:tc>
      </w:tr>
      <w:tr w:rsidR="006916BF" w14:paraId="353C9D7E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7C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Skrutkové spoje</w:t>
            </w:r>
          </w:p>
        </w:tc>
        <w:tc>
          <w:tcPr>
            <w:tcW w:w="1845" w:type="dxa"/>
            <w:vAlign w:val="bottom"/>
          </w:tcPr>
          <w:p w14:paraId="353C9D7D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81" w14:textId="77777777">
        <w:trPr>
          <w:trHeight w:val="300"/>
          <w:jc w:val="center"/>
        </w:trPr>
        <w:tc>
          <w:tcPr>
            <w:tcW w:w="7155" w:type="dxa"/>
            <w:vAlign w:val="bottom"/>
          </w:tcPr>
          <w:p w14:paraId="353C9D7F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Kolíkové spoje</w:t>
            </w:r>
          </w:p>
        </w:tc>
        <w:tc>
          <w:tcPr>
            <w:tcW w:w="1845" w:type="dxa"/>
            <w:vAlign w:val="bottom"/>
          </w:tcPr>
          <w:p w14:paraId="353C9D80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84" w14:textId="77777777">
        <w:trPr>
          <w:trHeight w:val="300"/>
          <w:jc w:val="center"/>
        </w:trPr>
        <w:tc>
          <w:tcPr>
            <w:tcW w:w="7155" w:type="dxa"/>
            <w:vAlign w:val="bottom"/>
          </w:tcPr>
          <w:p w14:paraId="353C9D82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Čapové spoje</w:t>
            </w:r>
          </w:p>
        </w:tc>
        <w:tc>
          <w:tcPr>
            <w:tcW w:w="1845" w:type="dxa"/>
            <w:vAlign w:val="bottom"/>
          </w:tcPr>
          <w:p w14:paraId="353C9D83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87" w14:textId="77777777">
        <w:trPr>
          <w:trHeight w:val="300"/>
          <w:jc w:val="center"/>
        </w:trPr>
        <w:tc>
          <w:tcPr>
            <w:tcW w:w="7155" w:type="dxa"/>
            <w:vAlign w:val="bottom"/>
          </w:tcPr>
          <w:p w14:paraId="353C9D85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Nitové spoje</w:t>
            </w:r>
          </w:p>
        </w:tc>
        <w:tc>
          <w:tcPr>
            <w:tcW w:w="1845" w:type="dxa"/>
            <w:vAlign w:val="bottom"/>
          </w:tcPr>
          <w:p w14:paraId="353C9D86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916BF" w14:paraId="353C9D8A" w14:textId="77777777">
        <w:trPr>
          <w:trHeight w:val="300"/>
          <w:jc w:val="center"/>
        </w:trPr>
        <w:tc>
          <w:tcPr>
            <w:tcW w:w="7155" w:type="dxa"/>
            <w:vAlign w:val="bottom"/>
          </w:tcPr>
          <w:p w14:paraId="353C9D88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Perové spoje</w:t>
            </w:r>
          </w:p>
        </w:tc>
        <w:tc>
          <w:tcPr>
            <w:tcW w:w="1845" w:type="dxa"/>
            <w:vAlign w:val="bottom"/>
          </w:tcPr>
          <w:p w14:paraId="353C9D89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916BF" w14:paraId="353C9D8D" w14:textId="77777777">
        <w:trPr>
          <w:trHeight w:val="300"/>
          <w:jc w:val="center"/>
        </w:trPr>
        <w:tc>
          <w:tcPr>
            <w:tcW w:w="7155" w:type="dxa"/>
            <w:vAlign w:val="bottom"/>
          </w:tcPr>
          <w:p w14:paraId="353C9D8B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Drážkové spoje</w:t>
            </w:r>
          </w:p>
        </w:tc>
        <w:tc>
          <w:tcPr>
            <w:tcW w:w="1845" w:type="dxa"/>
            <w:vAlign w:val="bottom"/>
          </w:tcPr>
          <w:p w14:paraId="353C9D8C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916BF" w14:paraId="353C9D90" w14:textId="77777777">
        <w:trPr>
          <w:trHeight w:val="300"/>
          <w:jc w:val="center"/>
        </w:trPr>
        <w:tc>
          <w:tcPr>
            <w:tcW w:w="7155" w:type="dxa"/>
            <w:vAlign w:val="bottom"/>
          </w:tcPr>
          <w:p w14:paraId="353C9D8E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Tlakové spoje</w:t>
            </w:r>
          </w:p>
        </w:tc>
        <w:tc>
          <w:tcPr>
            <w:tcW w:w="1845" w:type="dxa"/>
            <w:vAlign w:val="bottom"/>
          </w:tcPr>
          <w:p w14:paraId="353C9D8F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916BF" w14:paraId="353C9D93" w14:textId="77777777">
        <w:trPr>
          <w:trHeight w:val="300"/>
          <w:jc w:val="center"/>
        </w:trPr>
        <w:tc>
          <w:tcPr>
            <w:tcW w:w="7155" w:type="dxa"/>
            <w:vAlign w:val="bottom"/>
          </w:tcPr>
          <w:p w14:paraId="353C9D91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Pružné spoje</w:t>
            </w:r>
          </w:p>
        </w:tc>
        <w:tc>
          <w:tcPr>
            <w:tcW w:w="1845" w:type="dxa"/>
            <w:vAlign w:val="bottom"/>
          </w:tcPr>
          <w:p w14:paraId="353C9D92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916BF" w14:paraId="353C9D96" w14:textId="77777777">
        <w:trPr>
          <w:trHeight w:val="300"/>
          <w:jc w:val="center"/>
        </w:trPr>
        <w:tc>
          <w:tcPr>
            <w:tcW w:w="7155" w:type="dxa"/>
            <w:vAlign w:val="bottom"/>
          </w:tcPr>
          <w:p w14:paraId="353C9D94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Zvarové spoje</w:t>
            </w:r>
          </w:p>
        </w:tc>
        <w:tc>
          <w:tcPr>
            <w:tcW w:w="1845" w:type="dxa"/>
            <w:vAlign w:val="bottom"/>
          </w:tcPr>
          <w:p w14:paraId="353C9D95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916BF" w14:paraId="353C9D99" w14:textId="77777777">
        <w:trPr>
          <w:trHeight w:val="300"/>
          <w:jc w:val="center"/>
        </w:trPr>
        <w:tc>
          <w:tcPr>
            <w:tcW w:w="7155" w:type="dxa"/>
            <w:vAlign w:val="bottom"/>
          </w:tcPr>
          <w:p w14:paraId="353C9D97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Lepené spoje</w:t>
            </w:r>
          </w:p>
        </w:tc>
        <w:tc>
          <w:tcPr>
            <w:tcW w:w="1845" w:type="dxa"/>
            <w:vAlign w:val="bottom"/>
          </w:tcPr>
          <w:p w14:paraId="353C9D98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916BF" w14:paraId="353C9D9C" w14:textId="77777777">
        <w:trPr>
          <w:trHeight w:val="285"/>
          <w:jc w:val="center"/>
        </w:trPr>
        <w:tc>
          <w:tcPr>
            <w:tcW w:w="7155" w:type="dxa"/>
            <w:vAlign w:val="bottom"/>
          </w:tcPr>
          <w:p w14:paraId="353C9D9A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Spájkované spoje</w:t>
            </w:r>
          </w:p>
        </w:tc>
        <w:tc>
          <w:tcPr>
            <w:tcW w:w="1845" w:type="dxa"/>
            <w:vAlign w:val="bottom"/>
          </w:tcPr>
          <w:p w14:paraId="353C9D9B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916BF" w14:paraId="353C9D9F" w14:textId="77777777">
        <w:trPr>
          <w:trHeight w:val="300"/>
          <w:jc w:val="center"/>
        </w:trPr>
        <w:tc>
          <w:tcPr>
            <w:tcW w:w="7155" w:type="dxa"/>
            <w:vAlign w:val="bottom"/>
          </w:tcPr>
          <w:p w14:paraId="353C9D9D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3B4146"/>
                <w:sz w:val="20"/>
                <w:szCs w:val="20"/>
                <w:highlight w:val="white"/>
              </w:rPr>
              <w:t>Súčiastky strojov prenášajúce pohyb</w:t>
            </w:r>
          </w:p>
        </w:tc>
        <w:tc>
          <w:tcPr>
            <w:tcW w:w="1845" w:type="dxa"/>
            <w:vAlign w:val="bottom"/>
          </w:tcPr>
          <w:p w14:paraId="353C9D9E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14 hodín</w:t>
            </w:r>
          </w:p>
        </w:tc>
      </w:tr>
      <w:tr w:rsidR="006916BF" w14:paraId="353C9DA2" w14:textId="77777777">
        <w:trPr>
          <w:trHeight w:val="300"/>
          <w:jc w:val="center"/>
        </w:trPr>
        <w:tc>
          <w:tcPr>
            <w:tcW w:w="7155" w:type="dxa"/>
            <w:vAlign w:val="bottom"/>
          </w:tcPr>
          <w:p w14:paraId="353C9DA0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Hriadele</w:t>
            </w:r>
          </w:p>
        </w:tc>
        <w:tc>
          <w:tcPr>
            <w:tcW w:w="1845" w:type="dxa"/>
            <w:vAlign w:val="bottom"/>
          </w:tcPr>
          <w:p w14:paraId="353C9DA1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A5" w14:textId="77777777">
        <w:trPr>
          <w:trHeight w:val="300"/>
          <w:jc w:val="center"/>
        </w:trPr>
        <w:tc>
          <w:tcPr>
            <w:tcW w:w="7155" w:type="dxa"/>
            <w:vAlign w:val="bottom"/>
          </w:tcPr>
          <w:p w14:paraId="353C9DA3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Ložiská</w:t>
            </w:r>
          </w:p>
        </w:tc>
        <w:tc>
          <w:tcPr>
            <w:tcW w:w="1845" w:type="dxa"/>
            <w:vAlign w:val="bottom"/>
          </w:tcPr>
          <w:p w14:paraId="353C9DA4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A8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A6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Klzné ložiská</w:t>
            </w:r>
          </w:p>
        </w:tc>
        <w:tc>
          <w:tcPr>
            <w:tcW w:w="1845" w:type="dxa"/>
            <w:vAlign w:val="bottom"/>
          </w:tcPr>
          <w:p w14:paraId="353C9DA7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AB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A9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Valivé ložiská</w:t>
            </w:r>
          </w:p>
        </w:tc>
        <w:tc>
          <w:tcPr>
            <w:tcW w:w="1845" w:type="dxa"/>
            <w:vAlign w:val="bottom"/>
          </w:tcPr>
          <w:p w14:paraId="353C9DAA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AE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AC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Hriadeľové spojky</w:t>
            </w:r>
          </w:p>
        </w:tc>
        <w:tc>
          <w:tcPr>
            <w:tcW w:w="1845" w:type="dxa"/>
            <w:vAlign w:val="bottom"/>
          </w:tcPr>
          <w:p w14:paraId="353C9DAD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916BF" w14:paraId="353C9DB1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AF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  <w:t>Mechanické prevody</w:t>
            </w:r>
          </w:p>
        </w:tc>
        <w:tc>
          <w:tcPr>
            <w:tcW w:w="1845" w:type="dxa"/>
            <w:vAlign w:val="bottom"/>
          </w:tcPr>
          <w:p w14:paraId="353C9DB0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 hodín</w:t>
            </w:r>
          </w:p>
        </w:tc>
      </w:tr>
      <w:tr w:rsidR="006916BF" w14:paraId="353C9DB4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B2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Trecie prevody</w:t>
            </w:r>
          </w:p>
        </w:tc>
        <w:tc>
          <w:tcPr>
            <w:tcW w:w="1845" w:type="dxa"/>
            <w:vAlign w:val="bottom"/>
          </w:tcPr>
          <w:p w14:paraId="353C9DB3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B7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B5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Remeňové prevody</w:t>
            </w:r>
          </w:p>
        </w:tc>
        <w:tc>
          <w:tcPr>
            <w:tcW w:w="1845" w:type="dxa"/>
            <w:vAlign w:val="bottom"/>
          </w:tcPr>
          <w:p w14:paraId="353C9DB6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916BF" w14:paraId="353C9DBA" w14:textId="77777777">
        <w:trPr>
          <w:trHeight w:val="300"/>
          <w:jc w:val="center"/>
        </w:trPr>
        <w:tc>
          <w:tcPr>
            <w:tcW w:w="7155" w:type="dxa"/>
            <w:vAlign w:val="bottom"/>
          </w:tcPr>
          <w:p w14:paraId="353C9DB8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Reťazové prevody</w:t>
            </w:r>
          </w:p>
        </w:tc>
        <w:tc>
          <w:tcPr>
            <w:tcW w:w="1845" w:type="dxa"/>
            <w:vAlign w:val="bottom"/>
          </w:tcPr>
          <w:p w14:paraId="353C9DB9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BD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BB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Prevody ozubenými remeňmi</w:t>
            </w:r>
          </w:p>
        </w:tc>
        <w:tc>
          <w:tcPr>
            <w:tcW w:w="1845" w:type="dxa"/>
            <w:vAlign w:val="bottom"/>
          </w:tcPr>
          <w:p w14:paraId="353C9DBC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C0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BE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Prevody ozubenými kolesami</w:t>
            </w:r>
          </w:p>
        </w:tc>
        <w:tc>
          <w:tcPr>
            <w:tcW w:w="1845" w:type="dxa"/>
            <w:vAlign w:val="bottom"/>
          </w:tcPr>
          <w:p w14:paraId="353C9DBF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C3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C1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Prevodovky</w:t>
            </w:r>
          </w:p>
        </w:tc>
        <w:tc>
          <w:tcPr>
            <w:tcW w:w="1845" w:type="dxa"/>
            <w:vAlign w:val="bottom"/>
          </w:tcPr>
          <w:p w14:paraId="353C9DC2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C6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C4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  <w:t>Mechanizmy na prenos a transformáciu pohybu</w:t>
            </w:r>
          </w:p>
        </w:tc>
        <w:tc>
          <w:tcPr>
            <w:tcW w:w="1845" w:type="dxa"/>
            <w:vAlign w:val="bottom"/>
          </w:tcPr>
          <w:p w14:paraId="353C9DC5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14 hodín</w:t>
            </w:r>
          </w:p>
        </w:tc>
      </w:tr>
      <w:tr w:rsidR="006916BF" w14:paraId="353C9DC9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C7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Skrutkové mechanizmy</w:t>
            </w:r>
          </w:p>
        </w:tc>
        <w:tc>
          <w:tcPr>
            <w:tcW w:w="1845" w:type="dxa"/>
            <w:vAlign w:val="bottom"/>
          </w:tcPr>
          <w:p w14:paraId="353C9DC8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CC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CA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Pákové mechanizmy</w:t>
            </w:r>
          </w:p>
        </w:tc>
        <w:tc>
          <w:tcPr>
            <w:tcW w:w="1845" w:type="dxa"/>
            <w:vAlign w:val="bottom"/>
          </w:tcPr>
          <w:p w14:paraId="353C9DCB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CF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CD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Kĺbové mechanizmy</w:t>
            </w:r>
          </w:p>
        </w:tc>
        <w:tc>
          <w:tcPr>
            <w:tcW w:w="1845" w:type="dxa"/>
            <w:vAlign w:val="bottom"/>
          </w:tcPr>
          <w:p w14:paraId="353C9DCE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D2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D0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Kľukové mechanizmy</w:t>
            </w:r>
          </w:p>
        </w:tc>
        <w:tc>
          <w:tcPr>
            <w:tcW w:w="1845" w:type="dxa"/>
            <w:vAlign w:val="bottom"/>
          </w:tcPr>
          <w:p w14:paraId="353C9DD1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D5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D3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Brzdiace mechanizmy</w:t>
            </w:r>
          </w:p>
        </w:tc>
        <w:tc>
          <w:tcPr>
            <w:tcW w:w="1845" w:type="dxa"/>
            <w:vAlign w:val="bottom"/>
          </w:tcPr>
          <w:p w14:paraId="353C9DD4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D8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D6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  <w:t>Tekutinové mechanizmy</w:t>
            </w:r>
          </w:p>
        </w:tc>
        <w:tc>
          <w:tcPr>
            <w:tcW w:w="1845" w:type="dxa"/>
            <w:vAlign w:val="bottom"/>
          </w:tcPr>
          <w:p w14:paraId="353C9DD7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25 hodín</w:t>
            </w:r>
          </w:p>
        </w:tc>
      </w:tr>
      <w:tr w:rsidR="006916BF" w14:paraId="353C9DDB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D9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Pneumatické mechanizmy</w:t>
            </w:r>
          </w:p>
        </w:tc>
        <w:tc>
          <w:tcPr>
            <w:tcW w:w="1845" w:type="dxa"/>
            <w:vAlign w:val="bottom"/>
          </w:tcPr>
          <w:p w14:paraId="353C9DDA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DE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DC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Kompresory a kompresorové stanice</w:t>
            </w:r>
          </w:p>
        </w:tc>
        <w:tc>
          <w:tcPr>
            <w:tcW w:w="1845" w:type="dxa"/>
            <w:vAlign w:val="bottom"/>
          </w:tcPr>
          <w:p w14:paraId="353C9DDD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E1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DF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Úprava stlačeného vzduchu</w:t>
            </w:r>
          </w:p>
        </w:tc>
        <w:tc>
          <w:tcPr>
            <w:tcW w:w="1845" w:type="dxa"/>
            <w:vAlign w:val="bottom"/>
          </w:tcPr>
          <w:p w14:paraId="353C9DE0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E4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E2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Pneumotory</w:t>
            </w:r>
          </w:p>
        </w:tc>
        <w:tc>
          <w:tcPr>
            <w:tcW w:w="1845" w:type="dxa"/>
            <w:vAlign w:val="bottom"/>
          </w:tcPr>
          <w:p w14:paraId="353C9DE3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E7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E5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Ventily pre pneumatické mechanizmy</w:t>
            </w:r>
          </w:p>
        </w:tc>
        <w:tc>
          <w:tcPr>
            <w:tcW w:w="1845" w:type="dxa"/>
            <w:vAlign w:val="bottom"/>
          </w:tcPr>
          <w:p w14:paraId="353C9DE6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EA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E8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Schematické značky a schémy pneumatických mechanizmov</w:t>
            </w:r>
          </w:p>
        </w:tc>
        <w:tc>
          <w:tcPr>
            <w:tcW w:w="1845" w:type="dxa"/>
            <w:vAlign w:val="bottom"/>
          </w:tcPr>
          <w:p w14:paraId="353C9DE9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ED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EB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Hydraulické mechanizmy</w:t>
            </w:r>
          </w:p>
        </w:tc>
        <w:tc>
          <w:tcPr>
            <w:tcW w:w="1845" w:type="dxa"/>
            <w:vAlign w:val="bottom"/>
          </w:tcPr>
          <w:p w14:paraId="353C9DEC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F0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EE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Hydraulické agregáty</w:t>
            </w:r>
          </w:p>
        </w:tc>
        <w:tc>
          <w:tcPr>
            <w:tcW w:w="1845" w:type="dxa"/>
            <w:vAlign w:val="bottom"/>
          </w:tcPr>
          <w:p w14:paraId="353C9DEF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F3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F1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Hydromotory</w:t>
            </w:r>
          </w:p>
        </w:tc>
        <w:tc>
          <w:tcPr>
            <w:tcW w:w="1845" w:type="dxa"/>
            <w:vAlign w:val="bottom"/>
          </w:tcPr>
          <w:p w14:paraId="353C9DF2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F6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F4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Ventily pre hydraulické mechanizmy</w:t>
            </w:r>
          </w:p>
        </w:tc>
        <w:tc>
          <w:tcPr>
            <w:tcW w:w="1845" w:type="dxa"/>
            <w:vAlign w:val="bottom"/>
          </w:tcPr>
          <w:p w14:paraId="353C9DF5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916BF" w14:paraId="353C9DF9" w14:textId="77777777">
        <w:trPr>
          <w:trHeight w:val="317"/>
          <w:jc w:val="center"/>
        </w:trPr>
        <w:tc>
          <w:tcPr>
            <w:tcW w:w="7155" w:type="dxa"/>
            <w:vAlign w:val="bottom"/>
          </w:tcPr>
          <w:p w14:paraId="353C9DF7" w14:textId="77777777" w:rsidR="006916BF" w:rsidRDefault="00E01F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Schematické značky a schémy hydraulických mechanizmov</w:t>
            </w:r>
          </w:p>
        </w:tc>
        <w:tc>
          <w:tcPr>
            <w:tcW w:w="1845" w:type="dxa"/>
            <w:vAlign w:val="bottom"/>
          </w:tcPr>
          <w:p w14:paraId="353C9DF8" w14:textId="77777777" w:rsidR="006916BF" w:rsidRDefault="006916B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353C9DFA" w14:textId="77777777" w:rsidR="006916BF" w:rsidRDefault="006916BF">
      <w:pPr>
        <w:spacing w:after="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353C9DFB" w14:textId="77777777" w:rsidR="006916BF" w:rsidRDefault="00E01FE2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353C9DFC" w14:textId="77777777" w:rsidR="006916BF" w:rsidRDefault="00E01FE2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Vyučujúci môže vo vzdelávacom pláne upraviť rozsah vyučovacích hodín určený učebnými osnovami. Vyučujúci vypracuje vzdelávací plán výučby v členení na jednotlivé vyučovacie jednotky. </w:t>
      </w:r>
    </w:p>
    <w:p w14:paraId="353C9DFD" w14:textId="77777777" w:rsidR="006916BF" w:rsidRDefault="006916BF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353C9DFE" w14:textId="77777777" w:rsidR="006916BF" w:rsidRDefault="00E01FE2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Vzdelávací plán schvaľuje predmetová komisia a prerokuje pedagogická rada.</w:t>
      </w:r>
    </w:p>
    <w:sectPr w:rsidR="006916BF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C9E04" w14:textId="77777777" w:rsidR="00E01FE2" w:rsidRDefault="00E01FE2">
      <w:pPr>
        <w:spacing w:after="0" w:line="240" w:lineRule="auto"/>
      </w:pPr>
      <w:r>
        <w:separator/>
      </w:r>
    </w:p>
  </w:endnote>
  <w:endnote w:type="continuationSeparator" w:id="0">
    <w:p w14:paraId="353C9E06" w14:textId="77777777" w:rsidR="00E01FE2" w:rsidRDefault="00E01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Bodoni MT">
    <w:panose1 w:val="02070603080606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C9E00" w14:textId="77777777" w:rsidR="00E01FE2" w:rsidRDefault="00E01FE2">
      <w:pPr>
        <w:spacing w:after="0" w:line="240" w:lineRule="auto"/>
      </w:pPr>
      <w:r>
        <w:separator/>
      </w:r>
    </w:p>
  </w:footnote>
  <w:footnote w:type="continuationSeparator" w:id="0">
    <w:p w14:paraId="353C9E02" w14:textId="77777777" w:rsidR="00E01FE2" w:rsidRDefault="00E01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C9DFF" w14:textId="77777777" w:rsidR="006916BF" w:rsidRDefault="00E01FE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353C9E00" wp14:editId="353C9E01">
          <wp:extent cx="5760410" cy="5969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6BF"/>
    <w:rsid w:val="003F02EA"/>
    <w:rsid w:val="006916BF"/>
    <w:rsid w:val="00E0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9D46"/>
  <w15:docId w15:val="{EF79145F-50BF-4529-BA02-EBA5A70B0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D468E4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Bezriadkovania">
    <w:name w:val="No Spacing"/>
    <w:uiPriority w:val="1"/>
    <w:qFormat/>
    <w:rsid w:val="00AC2B5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3015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15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15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15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155E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1FFE"/>
  </w:style>
  <w:style w:type="paragraph" w:styleId="Pta">
    <w:name w:val="footer"/>
    <w:basedOn w:val="Normlny"/>
    <w:link w:val="Pt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1FFE"/>
  </w:style>
  <w:style w:type="paragraph" w:styleId="Textbubliny">
    <w:name w:val="Balloon Text"/>
    <w:basedOn w:val="Normlny"/>
    <w:link w:val="TextbublinyChar"/>
    <w:uiPriority w:val="99"/>
    <w:semiHidden/>
    <w:unhideWhenUsed/>
    <w:rsid w:val="005C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8C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E55E0"/>
    <w:pPr>
      <w:autoSpaceDE w:val="0"/>
      <w:autoSpaceDN w:val="0"/>
      <w:adjustRightInd w:val="0"/>
      <w:spacing w:after="0" w:line="240" w:lineRule="auto"/>
    </w:pPr>
    <w:rPr>
      <w:rFonts w:ascii="Bodoni MT" w:hAnsi="Bodoni MT" w:cs="Bodoni MT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D70D1"/>
    <w:pPr>
      <w:spacing w:after="0" w:line="240" w:lineRule="auto"/>
      <w:ind w:left="708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customStyle="1" w:styleId="HeaderandFooter">
    <w:name w:val="Header and Footer"/>
    <w:basedOn w:val="Normlny"/>
    <w:rsid w:val="00D468E4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iCs/>
      <w:sz w:val="24"/>
      <w:szCs w:val="24"/>
      <w:lang w:eastAsia="cs-CZ"/>
    </w:rPr>
  </w:style>
  <w:style w:type="character" w:customStyle="1" w:styleId="NzovChar">
    <w:name w:val="Názov Char"/>
    <w:basedOn w:val="Predvolenpsmoodseku"/>
    <w:link w:val="Nzov"/>
    <w:rsid w:val="00D468E4"/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yPDPTi6PWywn8CIU73ny84kXJg==">CgMxLjAyDmgub251ZDY3YmQyM2w0OAByITFGbEZMQmhZSWlJNms2ZVh3ZF9iVkZmcHRtUkNFOGlCeg==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560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Kováč</dc:creator>
  <cp:lastModifiedBy>Rusinková Hedviga RNDr.</cp:lastModifiedBy>
  <cp:revision>2</cp:revision>
  <dcterms:created xsi:type="dcterms:W3CDTF">2024-08-14T15:50:00Z</dcterms:created>
  <dcterms:modified xsi:type="dcterms:W3CDTF">2025-07-30T06:56:00Z</dcterms:modified>
</cp:coreProperties>
</file>